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736E48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07.02.2025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736E48"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6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3D4AEC" w:rsidRDefault="003D4AEC" w:rsidP="003D4AEC"/>
    <w:p w:rsidR="00C95BBC" w:rsidRPr="00C95BBC" w:rsidRDefault="00C95BBC" w:rsidP="00C95B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C95BBC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C95B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«7» февраля 2025г.  № 65 «О  проведении электронного аукциона </w:t>
      </w:r>
      <w:r w:rsidRPr="00C95B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C95B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sub_13"/>
      <w:r w:rsidRPr="00C95BBC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C95BBC" w:rsidRPr="00C95BBC" w:rsidRDefault="00C95BBC" w:rsidP="00C95B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C95B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C95BBC" w:rsidRPr="00C95BBC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февраля 2025 года в 16:00 по </w:t>
            </w:r>
            <w:proofErr w:type="gramStart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C95BBC" w:rsidRPr="00C95BBC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 марта 2025 года в 16:00 по </w:t>
            </w:r>
            <w:proofErr w:type="gramStart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5BBC" w:rsidRPr="00C95BBC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 марта 2025 года. </w:t>
            </w:r>
          </w:p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5BBC" w:rsidRPr="00C95BBC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 марта 2025 года в 11:00 по </w:t>
            </w:r>
            <w:proofErr w:type="gramStart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C95BBC" w:rsidRPr="00C95BBC" w:rsidTr="005A7D1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BBC" w:rsidRPr="00C95BBC" w:rsidRDefault="00C95BBC" w:rsidP="00C95BB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марта 2025 года.</w:t>
            </w:r>
          </w:p>
        </w:tc>
      </w:tr>
    </w:tbl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C95B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C95BBC" w:rsidRPr="00C95BBC" w:rsidRDefault="00C95BBC" w:rsidP="00C95B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13:21:0205002:413, находящийся по адресу: Республика Мордовия, </w:t>
      </w:r>
      <w:proofErr w:type="spellStart"/>
      <w:r w:rsidRPr="00C95BBC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Торбеевский</w:t>
      </w:r>
      <w:proofErr w:type="spellEnd"/>
      <w:r w:rsidRPr="00C95BBC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C95BBC">
        <w:rPr>
          <w:rFonts w:ascii="Times New Roman" w:eastAsia="BatangChe" w:hAnsi="Times New Roman" w:cs="Times New Roman"/>
          <w:color w:val="000000"/>
          <w:sz w:val="24"/>
          <w:szCs w:val="24"/>
        </w:rPr>
        <w:t>Торбеевское</w:t>
      </w:r>
      <w:proofErr w:type="spellEnd"/>
      <w:r w:rsidRPr="00C95BBC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городское поселение, рабочий поселок Торбеево, ул. А.С. Грачева, земельный участок 9, ограничения прав на земельный участок отсутствуют.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Земельный участок </w:t>
      </w:r>
      <w:r w:rsidRPr="00C95B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C95BBC" w:rsidRPr="00C95BBC" w:rsidRDefault="00C95BBC" w:rsidP="00C95BB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C95BBC" w:rsidRPr="00C95BBC" w:rsidRDefault="00C95BBC" w:rsidP="00C95BB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C95BBC" w:rsidRPr="00C95BBC" w:rsidRDefault="00C95BBC" w:rsidP="00C95BB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допустимого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размещения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зданий,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строений,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сооружений,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за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пределами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сооружений:</w:t>
      </w:r>
    </w:p>
    <w:p w:rsidR="00C95BBC" w:rsidRPr="00C95BBC" w:rsidRDefault="00C95BBC" w:rsidP="00C95BB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C95BBC" w:rsidRPr="00C95BBC" w:rsidRDefault="00C95BBC" w:rsidP="00C95BB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C95BBC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C95BBC" w:rsidRPr="00C95BBC" w:rsidRDefault="00C95BBC" w:rsidP="00C95BB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C95BBC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4;</w:t>
      </w:r>
    </w:p>
    <w:p w:rsidR="00C95BBC" w:rsidRPr="00C95BBC" w:rsidRDefault="00C95BBC" w:rsidP="00C95BB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других построек -</w:t>
      </w:r>
      <w:r w:rsidRPr="00C95BB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1;</w:t>
      </w:r>
    </w:p>
    <w:p w:rsidR="00C95BBC" w:rsidRPr="00C95BBC" w:rsidRDefault="00C95BBC" w:rsidP="00C95BB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C95BBC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1.</w:t>
      </w:r>
    </w:p>
    <w:p w:rsidR="00C95BBC" w:rsidRPr="00C95BBC" w:rsidRDefault="00C95BBC" w:rsidP="00C95BBC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C95BBC" w:rsidRPr="00C95BBC" w:rsidRDefault="00C95BBC" w:rsidP="00C95BB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скатной</w:t>
      </w:r>
      <w:proofErr w:type="gramEnd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C95BBC" w:rsidRPr="00C95BBC" w:rsidRDefault="00C95BBC" w:rsidP="00C95BBC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C95BBC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C95BBC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eastAsia="ru-RU" w:bidi="ru-RU"/>
        </w:rPr>
        <w:t>–</w:t>
      </w:r>
      <w:r w:rsidRPr="00C95BBC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eastAsia="ru-RU" w:bidi="ru-RU"/>
        </w:rPr>
        <w:t>60%.</w:t>
      </w:r>
    </w:p>
    <w:p w:rsidR="00C95BBC" w:rsidRPr="00C95BBC" w:rsidRDefault="00C95BBC" w:rsidP="00C95BBC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Иные параметры</w:t>
      </w:r>
      <w:r w:rsidRPr="00C95BBC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 w:bidi="ru-RU"/>
        </w:rPr>
        <w:t>застройки: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C95BBC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C95BBC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расстояние</w:t>
      </w:r>
    </w:p>
    <w:p w:rsidR="00C95BBC" w:rsidRPr="00C95BBC" w:rsidRDefault="00C95BBC" w:rsidP="00C95BB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C95BBC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безопасности».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C95BBC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домами, расположенными на противоположных сторонах проезда, должны быть учтены противопожарные расстояния. Расстояние от хозяйственных построек до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lastRenderedPageBreak/>
        <w:t>красных линий улиц и проездов должно быть не менее 5</w:t>
      </w:r>
      <w:r w:rsidRPr="00C95BBC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 w:bidi="ru-RU"/>
        </w:rPr>
        <w:t>м.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единообразными</w:t>
      </w:r>
      <w:r w:rsidRPr="00C95BB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как</w:t>
      </w:r>
      <w:r w:rsidRPr="00C95BBC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минимум</w:t>
      </w:r>
      <w:r w:rsidRPr="00C95BBC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на</w:t>
      </w:r>
      <w:r w:rsidRPr="00C95BB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протяжении</w:t>
      </w:r>
      <w:r w:rsidRPr="00C95BB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одного</w:t>
      </w:r>
      <w:r w:rsidRPr="00C95BB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квартала</w:t>
      </w:r>
      <w:r w:rsidRPr="00C95BBC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</w:t>
      </w:r>
      <w:r w:rsidRPr="00C95BBC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обеих</w:t>
      </w:r>
      <w:r w:rsidRPr="00C95BBC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сторон</w:t>
      </w:r>
      <w:r w:rsidRPr="00C95BBC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 w:bidi="ru-RU"/>
        </w:rPr>
        <w:t>улицы.</w:t>
      </w:r>
    </w:p>
    <w:p w:rsidR="00C95BBC" w:rsidRPr="00C95BBC" w:rsidRDefault="00C95BBC" w:rsidP="00C95BB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C95BBC" w:rsidRPr="00C95BBC" w:rsidRDefault="00C95BBC" w:rsidP="00C95BB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C95BBC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</w:t>
      </w:r>
      <w:proofErr w:type="gramEnd"/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:</w:t>
      </w:r>
    </w:p>
    <w:p w:rsidR="00C95BBC" w:rsidRPr="00C95BBC" w:rsidRDefault="00C95BBC" w:rsidP="00C95BBC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C95BBC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1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C95BBC" w:rsidRPr="00C95BBC" w:rsidTr="005A7D1C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Нормативный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разрыв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Поголовье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шт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.),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не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более</w:t>
            </w:r>
            <w:proofErr w:type="spellEnd"/>
          </w:p>
        </w:tc>
      </w:tr>
      <w:tr w:rsidR="00C95BBC" w:rsidRPr="00C95BBC" w:rsidTr="005A7D1C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BC" w:rsidRPr="00C95BBC" w:rsidRDefault="00C95BBC" w:rsidP="00C95BB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овцы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кролики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нутрии</w:t>
            </w:r>
            <w:proofErr w:type="spellEnd"/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песцы</w:t>
            </w:r>
            <w:proofErr w:type="spellEnd"/>
          </w:p>
        </w:tc>
      </w:tr>
      <w:tr w:rsidR="00C95BBC" w:rsidRPr="00C95BBC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C95BBC" w:rsidRPr="00C95BBC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C95BBC" w:rsidRPr="00C95BBC" w:rsidTr="005A7D1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C95BBC" w:rsidRPr="00C95BBC" w:rsidTr="005A7D1C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BC" w:rsidRPr="00C95BBC" w:rsidRDefault="00C95BBC" w:rsidP="00C95BBC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95B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C95BBC" w:rsidRPr="00C95BBC" w:rsidRDefault="00C95BBC" w:rsidP="00C95BBC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душа, бани (сауны) – 8</w:t>
      </w:r>
      <w:r w:rsidRPr="00C95BB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м;</w:t>
      </w:r>
    </w:p>
    <w:p w:rsidR="00C95BBC" w:rsidRPr="00C95BBC" w:rsidRDefault="00C95BBC" w:rsidP="00C95BBC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 xml:space="preserve">от шахтного колодца </w:t>
      </w:r>
      <w:r w:rsidRPr="00C95BBC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C95BBC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увеличено).</w:t>
      </w:r>
    </w:p>
    <w:p w:rsidR="00C95BBC" w:rsidRPr="00C95BBC" w:rsidRDefault="00C95BBC" w:rsidP="00C95BB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C95BBC" w:rsidRPr="00C95BBC" w:rsidRDefault="00C95BBC" w:rsidP="00C95BBC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C95BBC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eastAsia="ru-RU" w:bidi="ru-RU"/>
        </w:rPr>
        <w:t xml:space="preserve"> </w:t>
      </w: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дом.</w:t>
      </w:r>
    </w:p>
    <w:p w:rsidR="00C95BBC" w:rsidRPr="00C95BBC" w:rsidRDefault="00C95BBC" w:rsidP="00C95BB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95BB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C95BBC" w:rsidRPr="00C95BBC" w:rsidRDefault="00C95BBC" w:rsidP="00C95BBC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C95B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приложены отдельным документом к документации.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6. </w:t>
      </w: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3 497 (три тысячи четыреста девяносто семь) рублей 70  копеек в год.</w:t>
      </w:r>
      <w:proofErr w:type="gramEnd"/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C95B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C95BBC" w:rsidRPr="00C95BBC" w:rsidRDefault="00C95BBC" w:rsidP="00C95BB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C95B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C95BBC" w:rsidRPr="00C95BBC" w:rsidRDefault="00C95BBC" w:rsidP="00C95BB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C95BBC" w:rsidRPr="00C95BBC" w:rsidRDefault="00C95BBC" w:rsidP="00C95BB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C95BBC" w:rsidRPr="00C95BBC" w:rsidRDefault="00C95BBC" w:rsidP="00C95BB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иностранного государства в случае, если заявитель является иностранным юридическим лицом;</w:t>
      </w:r>
    </w:p>
    <w:p w:rsidR="00C95BBC" w:rsidRPr="00C95BBC" w:rsidRDefault="00C95BBC" w:rsidP="00C95BB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C95BB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C95B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95BB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C95BBC" w:rsidRPr="00C95BBC" w:rsidRDefault="00C95BBC" w:rsidP="00C95BB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C95B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Порядок внесения задатка – единовременно, безналичный расчет, путем перечисления суммы задатка на </w:t>
      </w:r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C95B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C95BBC" w:rsidRPr="00C95BBC" w:rsidTr="005A7D1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95BBC" w:rsidRPr="00C95BBC" w:rsidRDefault="00C95BBC" w:rsidP="00C95BB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BBC" w:rsidRPr="00C95BBC" w:rsidRDefault="00C95BBC" w:rsidP="00C9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11. Срок аренды земельного участка: 20 лет.</w:t>
      </w:r>
    </w:p>
    <w:p w:rsidR="00C95BBC" w:rsidRPr="00C95BBC" w:rsidRDefault="00C95BBC" w:rsidP="00C95B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56"/>
      <w:bookmarkEnd w:id="0"/>
      <w:r w:rsidRPr="00C95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C95BBC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C95BBC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95BBC" w:rsidRPr="00C95BBC" w:rsidRDefault="00C95BBC" w:rsidP="00C95B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C95BBC" w:rsidRPr="00C95BBC" w:rsidRDefault="00C95BBC" w:rsidP="00C95B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391281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2"/>
      <w:bookmarkEnd w:id="2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3"/>
      <w:bookmarkEnd w:id="3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95BBC" w:rsidRPr="00C95BBC" w:rsidRDefault="00C95BBC" w:rsidP="00C95B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1"/>
    <w:p w:rsidR="00C95BBC" w:rsidRPr="00C95BBC" w:rsidRDefault="00C95BBC" w:rsidP="00C95BBC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C95B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C9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C95BB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C95BB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участником устанавливается в размере, равном начальной цене предмета аукциона.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95BBC" w:rsidRPr="00C95BBC" w:rsidRDefault="00C95BBC" w:rsidP="00C95BB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C95B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C95B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C95BBC" w:rsidRPr="00C95BBC" w:rsidRDefault="00C95BBC" w:rsidP="00C95BBC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C95BBC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C95BBC" w:rsidRPr="00C95BBC" w:rsidRDefault="00C95BBC" w:rsidP="00C95BB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BBC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C95BBC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C95BBC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C95BBC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C95BBC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C95BBC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C95BBC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C95BBC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C95BBC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C95BBC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C95BB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C95BB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C95BB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C95BB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C95BB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C95BB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C95BB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C95BBC" w:rsidRPr="00C95BBC" w:rsidRDefault="00C95BBC" w:rsidP="00C95BB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BC" w:rsidRPr="00C95BBC" w:rsidRDefault="00C95BBC" w:rsidP="00C95BB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BC" w:rsidRPr="00C95BBC" w:rsidRDefault="00C95BBC" w:rsidP="00C95BB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48" w:rsidRPr="00736E48" w:rsidRDefault="00736E48" w:rsidP="00736E48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736E48"/>
    <w:rsid w:val="00C95BBC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36E4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95BB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36E4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95BB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2025-02-07T08:37:00Z</dcterms:created>
  <dcterms:modified xsi:type="dcterms:W3CDTF">2025-02-07T08:37:00Z</dcterms:modified>
</cp:coreProperties>
</file>