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05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5" w:name="_GoBack"/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>: Постановление администрации Торбеевского городского поселения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мая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г.  № 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для индивидуального жилищного строительства</w:t>
      </w:r>
      <w:r>
        <w:rPr>
          <w:rFonts w:hint="default" w:ascii="Times New Roman" w:hAnsi="Times New Roman" w:eastAsia="BatangChe" w:cs="Times New Roman"/>
          <w:sz w:val="24"/>
          <w:szCs w:val="24"/>
        </w:rPr>
        <w:t>, площадью 1 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100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кв. м., с кадастровым номером 13:21:01010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26</w:t>
      </w:r>
      <w:r>
        <w:rPr>
          <w:rFonts w:hint="default" w:ascii="Times New Roman" w:hAnsi="Times New Roman" w:eastAsia="BatangChe" w:cs="Times New Roman"/>
          <w:sz w:val="24"/>
          <w:szCs w:val="24"/>
        </w:rPr>
        <w:t>: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478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рп. Торбеево ул. Сельхозтехника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пояснительная записка от 26.09.2014 № б/н; доверенность от 19.09.2013 № 8-5653; доверенность от 18.07.2014 № 64 А А 1242815; техническое задание от 06.06.2014 № б/н; карта(план) Охранной зоны объекта ВЛ-0,4кВ №4 от ТП-10/0,4 кВ № Ц20401 пгт. Торбеево Торбеевского района Республики Мордовия от 26.09.2014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приказ "Об установлении зон санитарной охраны источников питьевого и хозяйственно-бытового водоснабжения ООО "МПК "Атяшевский"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tbl>
      <w:tblPr>
        <w:tblStyle w:val="8"/>
        <w:tblpPr w:leftFromText="180" w:rightFromText="180" w:vertAnchor="text" w:horzAnchor="page" w:tblpX="1100" w:tblpY="353"/>
        <w:tblOverlap w:val="never"/>
        <w:tblW w:w="10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62"/>
        <w:gridCol w:w="575"/>
        <w:gridCol w:w="675"/>
        <w:gridCol w:w="1138"/>
        <w:gridCol w:w="1062"/>
        <w:gridCol w:w="1388"/>
        <w:gridCol w:w="129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tblHeader/>
        </w:trPr>
        <w:tc>
          <w:tcPr>
            <w:tcW w:w="10223" w:type="dxa"/>
            <w:gridSpan w:val="9"/>
            <w:shd w:val="clear" w:color="auto" w:fill="C6D9F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20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и код ВРИ</w:t>
            </w:r>
          </w:p>
        </w:tc>
        <w:tc>
          <w:tcPr>
            <w:tcW w:w="1762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Описание ВРИ</w:t>
            </w:r>
          </w:p>
        </w:tc>
        <w:tc>
          <w:tcPr>
            <w:tcW w:w="2388" w:type="dxa"/>
            <w:gridSpan w:val="3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Предельные размеры земельных участков</w:t>
            </w:r>
          </w:p>
        </w:tc>
        <w:tc>
          <w:tcPr>
            <w:tcW w:w="1062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Предельное количество этажей. Предельная высота.</w:t>
            </w:r>
          </w:p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(эт./м.)</w:t>
            </w:r>
          </w:p>
        </w:tc>
        <w:tc>
          <w:tcPr>
            <w:tcW w:w="1388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291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Min отступы от границ земельного участка (м.)</w:t>
            </w:r>
          </w:p>
        </w:tc>
        <w:tc>
          <w:tcPr>
            <w:tcW w:w="1312" w:type="dxa"/>
            <w:vMerge w:val="restart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tblHeader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Площадь (кв. м.)</w:t>
            </w:r>
          </w:p>
        </w:tc>
        <w:tc>
          <w:tcPr>
            <w:tcW w:w="1138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Длина границы земельного участка вдоль фронта улицы (проезда) (м.) </w:t>
            </w: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 w:val="continue"/>
            <w:noWrap w:val="0"/>
            <w:vAlign w:val="top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tblHeader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</w:t>
            </w:r>
          </w:p>
        </w:tc>
        <w:tc>
          <w:tcPr>
            <w:tcW w:w="675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ax</w:t>
            </w:r>
          </w:p>
        </w:tc>
        <w:tc>
          <w:tcPr>
            <w:tcW w:w="1138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 /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 xml:space="preserve"> 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ax </w:t>
            </w: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 w:val="continue"/>
            <w:noWrap w:val="0"/>
            <w:vAlign w:val="top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20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762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575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8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12/50 (ширина земельных участков вдоль фронта улицы (проезда)</w:t>
            </w:r>
          </w:p>
        </w:tc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3(надземных)/</w:t>
            </w:r>
          </w:p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8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60 %</w:t>
            </w: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Индивидуальный жилой дом;</w:t>
            </w:r>
          </w:p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Индивидуальный гараж;</w:t>
            </w:r>
          </w:p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Баня;</w:t>
            </w:r>
          </w:p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Сарай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минимальный отступ застройки от красной линии улиц - 5 м;</w:t>
            </w:r>
          </w:p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минимальный отступ застройки от красной линии проездов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 xml:space="preserve"> - 3 м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en-US"/>
              </w:rPr>
              <w:t>;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</w:tbl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>
      <w:pPr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подлежат установлению.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 допускается размещение жилой застройки,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В границах зоны застройки индивидуальными жилыми домами Ж1 не допускается: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в) размещение рекламы на ограждениях участка, домах, строениях;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г) размещение со стороны улиц вспомогательных строений, за исключением гаражей;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д) размещение бань, саун при отсутствии канализования стоков.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Информация о возможности подключения к сетям инженерно-техническогообеспечения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3 084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три тысячи восемьдесят четыре</w:t>
      </w:r>
      <w:r>
        <w:rPr>
          <w:rFonts w:hint="default" w:ascii="Times New Roman" w:hAnsi="Times New Roman" w:cs="Times New Roman"/>
          <w:sz w:val="24"/>
          <w:szCs w:val="24"/>
        </w:rPr>
        <w:t>) рубл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 xml:space="preserve"> 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в год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bookmarkEnd w:id="5"/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0190775"/>
    <w:rsid w:val="530C51EE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7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uiPriority w:val="0"/>
  </w:style>
  <w:style w:type="character" w:customStyle="1" w:styleId="38">
    <w:name w:val="Заголовок 1 Знак"/>
    <w:basedOn w:val="7"/>
    <w:link w:val="2"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2024-05-20T08:12:54Z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EC28DD23CF0F418F8F108A207EF25828_13</vt:lpwstr>
  </property>
</Properties>
</file>