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1" w:rsidRDefault="00AA2C01" w:rsidP="00AA2C01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AA2C01" w:rsidRPr="00282B4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AA2C01" w:rsidRDefault="00AA2C01" w:rsidP="00AA2C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 w:rsidRPr="00282B41"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AA2C01" w:rsidRPr="00A80B76" w:rsidRDefault="007F6C34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12</w:t>
      </w:r>
      <w:r w:rsidR="00AA2C01" w:rsidRPr="00A80B76">
        <w:rPr>
          <w:rFonts w:ascii="Times New Roman CYR" w:hAnsi="Times New Roman CYR" w:cs="Times New Roman CYR"/>
          <w:sz w:val="20"/>
          <w:szCs w:val="20"/>
        </w:rPr>
        <w:t>.</w:t>
      </w:r>
      <w:r w:rsidR="008C1C3B">
        <w:rPr>
          <w:rFonts w:ascii="Times New Roman CYR" w:hAnsi="Times New Roman CYR" w:cs="Times New Roman CYR"/>
          <w:sz w:val="20"/>
          <w:szCs w:val="20"/>
        </w:rPr>
        <w:t>0</w:t>
      </w:r>
      <w:r w:rsidR="00E3058D">
        <w:rPr>
          <w:rFonts w:ascii="Times New Roman CYR" w:hAnsi="Times New Roman CYR" w:cs="Times New Roman CYR"/>
          <w:sz w:val="20"/>
          <w:szCs w:val="20"/>
        </w:rPr>
        <w:t>5</w:t>
      </w:r>
      <w:r w:rsidR="00AD68CF">
        <w:rPr>
          <w:rFonts w:ascii="Times New Roman CYR" w:hAnsi="Times New Roman CYR" w:cs="Times New Roman CYR"/>
          <w:sz w:val="20"/>
          <w:szCs w:val="20"/>
        </w:rPr>
        <w:t>.202</w:t>
      </w:r>
      <w:r w:rsidR="008C1C3B">
        <w:rPr>
          <w:rFonts w:ascii="Times New Roman CYR" w:hAnsi="Times New Roman CYR" w:cs="Times New Roman CYR"/>
          <w:sz w:val="20"/>
          <w:szCs w:val="20"/>
        </w:rPr>
        <w:t>3</w:t>
      </w:r>
    </w:p>
    <w:p w:rsidR="00AA2C01" w:rsidRPr="0025068B" w:rsidRDefault="00763533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</w:t>
      </w:r>
      <w:r w:rsidR="00522879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 </w:t>
      </w:r>
      <w:r w:rsidR="008D24AA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1</w:t>
      </w:r>
      <w:r w:rsidR="007F6C34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7</w:t>
      </w:r>
    </w:p>
    <w:p w:rsidR="00AA2C01" w:rsidRPr="00281BB7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AA2C01" w:rsidRDefault="00AA2C01" w:rsidP="00AA2C0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281BB7"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AA2C01" w:rsidRDefault="00AA2C01" w:rsidP="00EA7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Учредители: местное самоуправление </w:t>
      </w:r>
      <w:proofErr w:type="spellStart"/>
      <w:r>
        <w:rPr>
          <w:rFonts w:ascii="Times New Roman CYR" w:hAnsi="Times New Roman CYR" w:cs="Times New Roman CYR"/>
          <w:i/>
          <w:iCs/>
          <w:sz w:val="18"/>
          <w:szCs w:val="18"/>
        </w:rPr>
        <w:t>рп</w:t>
      </w:r>
      <w:proofErr w:type="spellEnd"/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 Торбеево.</w:t>
      </w:r>
    </w:p>
    <w:p w:rsidR="000C4761" w:rsidRPr="00753BB9" w:rsidRDefault="000C4761" w:rsidP="000C4761">
      <w:pPr>
        <w:spacing w:after="0"/>
        <w:ind w:firstLine="851"/>
        <w:rPr>
          <w:b/>
          <w:bCs/>
          <w:sz w:val="28"/>
          <w:szCs w:val="28"/>
        </w:rPr>
      </w:pPr>
    </w:p>
    <w:p w:rsidR="00EA1226" w:rsidRPr="00EA1226" w:rsidRDefault="00EA1226" w:rsidP="00EA1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 w:rsidRPr="00EA1226">
        <w:rPr>
          <w:rFonts w:ascii="Times New Roman" w:eastAsia="Times New Roman" w:hAnsi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</w:rPr>
        <w:t>1. Организатор электронного аукциона:</w:t>
      </w:r>
      <w:r w:rsidRPr="00EA122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Торбеево, ул. 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, стр. 7б,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>. 2.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6" w:history="1">
        <w:r w:rsidRPr="00EA1226">
          <w:rPr>
            <w:rStyle w:val="aa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EA1226">
        <w:rPr>
          <w:rFonts w:ascii="Times New Roman" w:hAnsi="Times New Roman" w:cs="Times New Roman"/>
          <w:sz w:val="24"/>
          <w:szCs w:val="24"/>
        </w:rPr>
        <w:t>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 w:rsidRPr="00EA1226">
        <w:rPr>
          <w:rFonts w:ascii="Times New Roman" w:hAnsi="Times New Roman" w:cs="Times New Roman"/>
          <w:sz w:val="24"/>
          <w:szCs w:val="24"/>
        </w:rPr>
        <w:t xml:space="preserve">: Постановление администрации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Торбеевского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городского поселения от 12 мая 2023г.  № 159 «О  проведении электронного аукциона </w:t>
      </w:r>
      <w:r w:rsidRPr="00EA1226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 w:rsidRPr="00EA1226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 w:rsidRPr="00EA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Pr="00EA12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EA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Гражданским кодексом РФ, Бюджетным кодексом РФ </w:t>
      </w:r>
      <w:r w:rsidRPr="00EA1226">
        <w:rPr>
          <w:rFonts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13"/>
      <w:r w:rsidRPr="00EA1226">
        <w:rPr>
          <w:rFonts w:ascii="Times New Roman" w:hAnsi="Times New Roman" w:cs="Times New Roman"/>
          <w:b/>
          <w:sz w:val="24"/>
          <w:szCs w:val="24"/>
        </w:rPr>
        <w:t>4. Место, дата, время и порядок проведения аукциона:</w:t>
      </w:r>
    </w:p>
    <w:p w:rsidR="00EA1226" w:rsidRPr="00EA1226" w:rsidRDefault="00EA1226" w:rsidP="00EA12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проводиться на электронной площадке </w:t>
      </w:r>
      <w:r w:rsidRPr="00EA1226">
        <w:rPr>
          <w:rFonts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EA1226">
          <w:rPr>
            <w:rStyle w:val="aa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Pr="00EA1226">
        <w:rPr>
          <w:rFonts w:ascii="Times New Roman" w:hAnsi="Times New Roman" w:cs="Times New Roman"/>
          <w:sz w:val="24"/>
          <w:szCs w:val="24"/>
        </w:rPr>
        <w:t xml:space="preserve">  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EA1226" w:rsidRPr="00EA1226" w:rsidTr="00EA12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мая 2023 года в 13:00 по </w:t>
            </w:r>
            <w:proofErr w:type="gramStart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EA1226" w:rsidRPr="00EA1226" w:rsidTr="00EA12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26" w:rsidRPr="00EA1226" w:rsidRDefault="00EA1226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июня  2023 года в 09:30 по </w:t>
            </w:r>
            <w:proofErr w:type="gramStart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226" w:rsidRPr="00EA1226" w:rsidTr="00EA12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определения участников аукциона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26" w:rsidRPr="00EA1226" w:rsidRDefault="00EA1226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июня 2023 года. </w:t>
            </w:r>
          </w:p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226" w:rsidRPr="00EA1226" w:rsidTr="00EA12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июня 2023 года в 11:00 по </w:t>
            </w:r>
            <w:proofErr w:type="gramStart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времени.</w:t>
            </w:r>
          </w:p>
        </w:tc>
      </w:tr>
      <w:tr w:rsidR="00EA1226" w:rsidRPr="00EA1226" w:rsidTr="00EA1226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подведения итогов аукциона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июня 2023 года.</w:t>
            </w:r>
          </w:p>
        </w:tc>
      </w:tr>
    </w:tbl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A1226" w:rsidRPr="00EA1226" w:rsidRDefault="00EA1226" w:rsidP="00EA122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226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Порядок проведения электронного аукциона  и о</w:t>
      </w:r>
      <w:r w:rsidRPr="00EA1226">
        <w:rPr>
          <w:rFonts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Подача предложений о цене осуществляется в личном кабинете участника.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226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b/>
          <w:sz w:val="24"/>
          <w:szCs w:val="24"/>
        </w:rPr>
        <w:t>Победителем аукциона признается участник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>, предложивший наибольший размер ежегодной арендной платы за земельный участок.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A1226"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A1226"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- </w:t>
      </w:r>
      <w:r w:rsidRPr="00EA1226"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-</w:t>
      </w:r>
      <w:r w:rsidRPr="00EA1226"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 w:rsidRPr="00EA1226"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A1226"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-</w:t>
      </w:r>
      <w:r w:rsidRPr="00EA1226"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EA1226"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EA1226"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A1226" w:rsidRPr="00EA1226" w:rsidRDefault="00EA1226" w:rsidP="00EA122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226">
        <w:rPr>
          <w:rFonts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 w:rsidR="00EA1226" w:rsidRPr="00EA1226" w:rsidRDefault="00EA1226" w:rsidP="00EA12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226">
        <w:rPr>
          <w:rFonts w:ascii="Times New Roman" w:hAnsi="Times New Roman" w:cs="Times New Roman"/>
          <w:bCs/>
          <w:iCs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kern w:val="36"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A1226"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Земельный участок, категория земель: Земли населенных пунктов, вид  разрешенного использования: для ведения личного подсобного хозяйства (приусадебный земельный участок), площадью 1 250 (одна тысяча двести пятьдесят) кв. м., с кадастровым номером 13:21:0101034:551, находящийся по адресу: Республика Мордовия, </w:t>
      </w:r>
      <w:proofErr w:type="spellStart"/>
      <w:r w:rsidRPr="00EA1226">
        <w:rPr>
          <w:rFonts w:ascii="Times New Roman" w:eastAsia="BatangChe" w:hAnsi="Times New Roman" w:cs="Times New Roman"/>
          <w:sz w:val="24"/>
          <w:szCs w:val="24"/>
        </w:rPr>
        <w:t>Торбеевский</w:t>
      </w:r>
      <w:proofErr w:type="spellEnd"/>
      <w:r w:rsidRPr="00EA1226">
        <w:rPr>
          <w:rFonts w:ascii="Times New Roman" w:eastAsia="BatangChe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EA1226">
        <w:rPr>
          <w:rFonts w:ascii="Times New Roman" w:eastAsia="BatangChe" w:hAnsi="Times New Roman" w:cs="Times New Roman"/>
          <w:sz w:val="24"/>
          <w:szCs w:val="24"/>
        </w:rPr>
        <w:t>Торбеевское</w:t>
      </w:r>
      <w:proofErr w:type="spellEnd"/>
      <w:r w:rsidRPr="00EA1226">
        <w:rPr>
          <w:rFonts w:ascii="Times New Roman" w:eastAsia="BatangChe" w:hAnsi="Times New Roman" w:cs="Times New Roman"/>
          <w:sz w:val="24"/>
          <w:szCs w:val="24"/>
        </w:rPr>
        <w:t xml:space="preserve"> городское поселение, д. </w:t>
      </w:r>
      <w:proofErr w:type="spellStart"/>
      <w:r w:rsidRPr="00EA1226">
        <w:rPr>
          <w:rFonts w:ascii="Times New Roman" w:eastAsia="BatangChe" w:hAnsi="Times New Roman" w:cs="Times New Roman"/>
          <w:sz w:val="24"/>
          <w:szCs w:val="24"/>
        </w:rPr>
        <w:t>Мазилуг</w:t>
      </w:r>
      <w:proofErr w:type="spellEnd"/>
      <w:r w:rsidRPr="00EA1226">
        <w:rPr>
          <w:rFonts w:ascii="Times New Roman" w:eastAsia="BatangChe" w:hAnsi="Times New Roman" w:cs="Times New Roman"/>
          <w:sz w:val="24"/>
          <w:szCs w:val="24"/>
        </w:rPr>
        <w:t>, 202, ограничения прав на земельный участок отсутствуют.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 w:rsidRPr="00EA12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Земельный участок </w:t>
      </w:r>
      <w:r w:rsidRPr="00EA1226">
        <w:rPr>
          <w:rFonts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EA1226" w:rsidRPr="00EA1226" w:rsidRDefault="00EA1226" w:rsidP="00EA1226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1226">
        <w:rPr>
          <w:rFonts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EA1226" w:rsidRPr="00EA1226" w:rsidRDefault="00EA1226" w:rsidP="00EA122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EA1226" w:rsidRPr="00EA1226" w:rsidRDefault="00EA1226" w:rsidP="00EA1226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 Минимальные отступы от границ земельных участков в целях определения мест</w:t>
      </w:r>
      <w:r w:rsidRPr="00EA1226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допустимого</w:t>
      </w:r>
      <w:r w:rsidRPr="00EA1226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размещения</w:t>
      </w:r>
      <w:r w:rsidRPr="00EA1226"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зданий,</w:t>
      </w:r>
      <w:r w:rsidRPr="00EA1226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строений,</w:t>
      </w:r>
      <w:r w:rsidRPr="00EA1226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сооружений,</w:t>
      </w:r>
      <w:r w:rsidRPr="00EA1226">
        <w:rPr>
          <w:rFonts w:ascii="Times New Roman" w:eastAsia="Times New Roman" w:hAnsi="Times New Roman" w:cs="Times New Roman"/>
          <w:b/>
          <w:bCs/>
          <w:spacing w:val="-17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за</w:t>
      </w:r>
      <w:r w:rsidRPr="00EA1226">
        <w:rPr>
          <w:rFonts w:ascii="Times New Roman" w:eastAsia="Times New Roman" w:hAnsi="Times New Roman" w:cs="Times New Roman"/>
          <w:b/>
          <w:bCs/>
          <w:spacing w:val="-24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пределами</w:t>
      </w:r>
      <w:r w:rsidRPr="00EA1226">
        <w:rPr>
          <w:rFonts w:ascii="Times New Roman" w:eastAsia="Times New Roman" w:hAnsi="Times New Roman" w:cs="Times New Roman"/>
          <w:b/>
          <w:bCs/>
          <w:spacing w:val="-21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которых запрещено строительство зданий, строений,</w:t>
      </w:r>
      <w:r w:rsidRPr="00EA1226"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сооружений:</w:t>
      </w:r>
    </w:p>
    <w:p w:rsidR="00EA1226" w:rsidRPr="00EA1226" w:rsidRDefault="00EA1226" w:rsidP="00EA122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EA1226" w:rsidRPr="00EA1226" w:rsidRDefault="00EA1226" w:rsidP="00EA1226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жилого строения, жилого дома -</w:t>
      </w:r>
      <w:r w:rsidRPr="00EA122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 xml:space="preserve"> 3;</w:t>
      </w:r>
    </w:p>
    <w:p w:rsidR="00EA1226" w:rsidRPr="00EA1226" w:rsidRDefault="00EA1226" w:rsidP="00EA1226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постройки для содержания мелкого скота и птицы -</w:t>
      </w:r>
      <w:r w:rsidRPr="00EA1226">
        <w:rPr>
          <w:rFonts w:ascii="Times New Roman" w:eastAsia="Times New Roman" w:hAnsi="Times New Roman" w:cs="Times New Roman"/>
          <w:spacing w:val="-24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4;</w:t>
      </w:r>
    </w:p>
    <w:p w:rsidR="00EA1226" w:rsidRPr="00EA1226" w:rsidRDefault="00EA1226" w:rsidP="00EA1226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других построек -</w:t>
      </w:r>
      <w:r w:rsidRPr="00EA1226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1;</w:t>
      </w:r>
    </w:p>
    <w:p w:rsidR="00EA1226" w:rsidRPr="00EA1226" w:rsidRDefault="00EA1226" w:rsidP="00EA1226">
      <w:pPr>
        <w:widowControl w:val="0"/>
        <w:numPr>
          <w:ilvl w:val="0"/>
          <w:numId w:val="2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стволов деревьев: высокорослых - 4; среднерослых - 2; от кустарника -</w:t>
      </w:r>
      <w:r w:rsidRPr="00EA1226">
        <w:rPr>
          <w:rFonts w:ascii="Times New Roman" w:eastAsia="Times New Roman" w:hAnsi="Times New Roman" w:cs="Times New Roman"/>
          <w:spacing w:val="-35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1.</w:t>
      </w:r>
    </w:p>
    <w:p w:rsidR="00EA1226" w:rsidRPr="00EA1226" w:rsidRDefault="00EA1226" w:rsidP="00EA1226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>Предельное количество этажей или предельная высота зданий, строений, сооружений:</w:t>
      </w:r>
    </w:p>
    <w:p w:rsidR="00EA1226" w:rsidRPr="00EA1226" w:rsidRDefault="00EA1226" w:rsidP="00EA122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скатной</w:t>
      </w:r>
      <w:proofErr w:type="gramEnd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EA1226" w:rsidRPr="00EA1226" w:rsidRDefault="00EA1226" w:rsidP="00EA1226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Максимальный процент застройки в </w:t>
      </w:r>
      <w:r w:rsidRPr="00EA1226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границах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EA1226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bidi="ru-RU"/>
        </w:rPr>
        <w:t xml:space="preserve">быть </w:t>
      </w:r>
      <w:r w:rsidRPr="00EA1226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bidi="ru-RU"/>
        </w:rPr>
        <w:t xml:space="preserve">застроена, ко всей площади земельного участка </w:t>
      </w:r>
      <w:r w:rsidRPr="00EA1226">
        <w:rPr>
          <w:rFonts w:ascii="Times New Roman" w:eastAsia="Times New Roman" w:hAnsi="Times New Roman" w:cs="Times New Roman"/>
          <w:bCs/>
          <w:w w:val="105"/>
          <w:sz w:val="24"/>
          <w:szCs w:val="24"/>
          <w:lang w:bidi="ru-RU"/>
        </w:rPr>
        <w:t>–</w:t>
      </w:r>
      <w:r w:rsidRPr="00EA1226">
        <w:rPr>
          <w:rFonts w:ascii="Times New Roman" w:eastAsia="Times New Roman" w:hAnsi="Times New Roman" w:cs="Times New Roman"/>
          <w:bCs/>
          <w:spacing w:val="-26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Cs/>
          <w:spacing w:val="3"/>
          <w:w w:val="105"/>
          <w:sz w:val="24"/>
          <w:szCs w:val="24"/>
          <w:lang w:bidi="ru-RU"/>
        </w:rPr>
        <w:t>60%.</w:t>
      </w:r>
    </w:p>
    <w:p w:rsidR="00EA1226" w:rsidRPr="00EA1226" w:rsidRDefault="00EA1226" w:rsidP="00EA1226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Иные параметры</w:t>
      </w:r>
      <w:r w:rsidRPr="00EA1226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b/>
          <w:w w:val="105"/>
          <w:sz w:val="24"/>
          <w:szCs w:val="24"/>
          <w:lang w:bidi="ru-RU"/>
        </w:rPr>
        <w:t>застройки: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жилым строением или домом и границей соседнего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участка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EA1226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см.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от плоскости стены. Если элементы выступают более чем на 50 см.,</w:t>
      </w:r>
      <w:r w:rsidRPr="00EA1226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расстояние</w:t>
      </w:r>
    </w:p>
    <w:p w:rsidR="00EA1226" w:rsidRPr="00EA1226" w:rsidRDefault="00EA1226" w:rsidP="00EA122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нормируются.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Противопожарные расстояния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между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группе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 xml:space="preserve">123-ФЗ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«Технический регламент о требованиях пожарной</w:t>
      </w:r>
      <w:r w:rsidRPr="00EA1226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безопасности».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EA1226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между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EA1226">
        <w:rPr>
          <w:rFonts w:ascii="Times New Roman" w:eastAsia="Times New Roman" w:hAnsi="Times New Roman" w:cs="Times New Roman"/>
          <w:spacing w:val="-20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bidi="ru-RU"/>
        </w:rPr>
        <w:t>м.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lastRenderedPageBreak/>
        <w:t xml:space="preserve">быть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единообразными</w:t>
      </w:r>
      <w:r w:rsidRPr="00EA1226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как</w:t>
      </w:r>
      <w:r w:rsidRPr="00EA1226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минимум</w:t>
      </w:r>
      <w:r w:rsidRPr="00EA1226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на</w:t>
      </w:r>
      <w:r w:rsidRPr="00EA1226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протяжении</w:t>
      </w:r>
      <w:r w:rsidRPr="00EA1226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одного</w:t>
      </w:r>
      <w:r w:rsidRPr="00EA1226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квартала</w:t>
      </w:r>
      <w:r w:rsidRPr="00EA1226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</w:t>
      </w:r>
      <w:r w:rsidRPr="00EA1226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обеих</w:t>
      </w:r>
      <w:r w:rsidRPr="00EA1226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сторон</w:t>
      </w:r>
      <w:r w:rsidRPr="00EA1226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bidi="ru-RU"/>
        </w:rPr>
        <w:t>улицы.</w:t>
      </w:r>
    </w:p>
    <w:p w:rsidR="00EA1226" w:rsidRPr="00EA1226" w:rsidRDefault="00EA1226" w:rsidP="00EA122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Высота ограждения земельных участков должна быть не более 2 м;</w:t>
      </w:r>
    </w:p>
    <w:p w:rsidR="00EA1226" w:rsidRPr="00EA1226" w:rsidRDefault="00EA1226" w:rsidP="00EA122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Минимальные расстояния между строениями и сооружениями,</w:t>
      </w:r>
      <w:r w:rsidRPr="00EA1226">
        <w:rPr>
          <w:rFonts w:ascii="Times New Roman" w:eastAsia="Times New Roman" w:hAnsi="Times New Roman" w:cs="Times New Roman"/>
          <w:spacing w:val="-9"/>
          <w:w w:val="105"/>
          <w:sz w:val="24"/>
          <w:szCs w:val="24"/>
          <w:lang w:bidi="ru-RU"/>
        </w:rPr>
        <w:t xml:space="preserve"> </w:t>
      </w:r>
      <w:proofErr w:type="gramStart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</w:t>
      </w:r>
      <w:proofErr w:type="gramEnd"/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:</w:t>
      </w:r>
    </w:p>
    <w:p w:rsidR="00EA1226" w:rsidRPr="00EA1226" w:rsidRDefault="00EA1226" w:rsidP="00EA1226">
      <w:pPr>
        <w:widowControl w:val="0"/>
        <w:numPr>
          <w:ilvl w:val="1"/>
          <w:numId w:val="3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жилого строения, жилого дома и погреба </w:t>
      </w:r>
      <w:r w:rsidRPr="00EA1226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124"/>
        <w:gridCol w:w="1132"/>
        <w:gridCol w:w="1124"/>
        <w:gridCol w:w="1333"/>
      </w:tblGrid>
      <w:tr w:rsidR="00EA1226" w:rsidRPr="00EA1226" w:rsidTr="00EA1226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144" w:line="244" w:lineRule="auto"/>
              <w:ind w:left="492" w:hanging="2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Нормативный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разрыв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1" w:lineRule="exact"/>
              <w:ind w:left="103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Поголовье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шт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.),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более</w:t>
            </w:r>
            <w:proofErr w:type="spellEnd"/>
          </w:p>
        </w:tc>
      </w:tr>
      <w:tr w:rsidR="00EA1226" w:rsidRPr="00EA1226" w:rsidTr="00EA1226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26" w:rsidRPr="00EA1226" w:rsidRDefault="00EA12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2" w:line="274" w:lineRule="exact"/>
              <w:ind w:left="319" w:hanging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овцы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/>
              <w:ind w:left="13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кролики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2" w:line="274" w:lineRule="exact"/>
              <w:ind w:left="339" w:hanging="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нутрии</w:t>
            </w:r>
            <w:proofErr w:type="spellEnd"/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песцы</w:t>
            </w:r>
            <w:proofErr w:type="spellEnd"/>
          </w:p>
        </w:tc>
      </w:tr>
      <w:tr w:rsidR="00EA1226" w:rsidRPr="00EA1226" w:rsidTr="00EA122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5</w:t>
            </w:r>
          </w:p>
        </w:tc>
      </w:tr>
      <w:tr w:rsidR="00EA1226" w:rsidRPr="00EA1226" w:rsidTr="00EA122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3"/>
                <w:sz w:val="24"/>
                <w:szCs w:val="24"/>
                <w:lang w:eastAsia="ru-RU" w:bidi="ru-RU"/>
              </w:rPr>
              <w:t>8</w:t>
            </w:r>
          </w:p>
        </w:tc>
      </w:tr>
      <w:tr w:rsidR="00EA1226" w:rsidRPr="00EA1226" w:rsidTr="00EA1226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10</w:t>
            </w:r>
          </w:p>
        </w:tc>
      </w:tr>
      <w:tr w:rsidR="00EA1226" w:rsidRPr="00EA1226" w:rsidTr="00EA1226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226" w:rsidRPr="00EA1226" w:rsidRDefault="00EA1226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EA1226">
              <w:rPr>
                <w:rFonts w:ascii="Times New Roman" w:eastAsia="Times New Roman" w:hAnsi="Times New Roman" w:cs="Times New Roman"/>
                <w:color w:val="auto"/>
                <w:w w:val="105"/>
                <w:sz w:val="24"/>
                <w:szCs w:val="24"/>
                <w:lang w:eastAsia="ru-RU" w:bidi="ru-RU"/>
              </w:rPr>
              <w:t>15</w:t>
            </w:r>
          </w:p>
        </w:tc>
      </w:tr>
    </w:tbl>
    <w:p w:rsidR="00EA1226" w:rsidRPr="00EA1226" w:rsidRDefault="00EA1226" w:rsidP="00EA1226">
      <w:pPr>
        <w:widowControl w:val="0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душа, бани (сауны) – 8</w:t>
      </w:r>
      <w:r w:rsidRPr="00EA1226">
        <w:rPr>
          <w:rFonts w:ascii="Times New Roman" w:eastAsia="Times New Roman" w:hAnsi="Times New Roman" w:cs="Times New Roman"/>
          <w:spacing w:val="-3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м;</w:t>
      </w:r>
    </w:p>
    <w:p w:rsidR="00EA1226" w:rsidRPr="00EA1226" w:rsidRDefault="00EA1226" w:rsidP="00EA1226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 xml:space="preserve">от шахтного колодца </w:t>
      </w:r>
      <w:r w:rsidRPr="00EA1226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bidi="ru-RU"/>
        </w:rPr>
        <w:t xml:space="preserve">до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EA122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увеличено).</w:t>
      </w:r>
    </w:p>
    <w:p w:rsidR="00EA1226" w:rsidRPr="00EA1226" w:rsidRDefault="00EA1226" w:rsidP="00EA122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EA1226" w:rsidRPr="00EA1226" w:rsidRDefault="00EA1226" w:rsidP="00EA1226">
      <w:pPr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EA1226">
        <w:rPr>
          <w:rFonts w:ascii="Times New Roman" w:eastAsia="Times New Roman" w:hAnsi="Times New Roman" w:cs="Times New Roman"/>
          <w:spacing w:val="-12"/>
          <w:w w:val="105"/>
          <w:sz w:val="24"/>
          <w:szCs w:val="24"/>
          <w:lang w:bidi="ru-RU"/>
        </w:rPr>
        <w:t xml:space="preserve"> </w:t>
      </w: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дом.</w:t>
      </w:r>
    </w:p>
    <w:p w:rsidR="00EA1226" w:rsidRPr="00EA1226" w:rsidRDefault="00EA1226" w:rsidP="00EA1226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A1226">
        <w:rPr>
          <w:rFonts w:ascii="Times New Roman" w:eastAsia="Times New Roman" w:hAnsi="Times New Roman" w:cs="Times New Roman"/>
          <w:w w:val="105"/>
          <w:sz w:val="24"/>
          <w:szCs w:val="24"/>
          <w:lang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EA1226" w:rsidRPr="00EA1226" w:rsidRDefault="00EA1226" w:rsidP="00EA1226">
      <w:pPr>
        <w:widowControl w:val="0"/>
        <w:tabs>
          <w:tab w:val="left" w:pos="720"/>
        </w:tabs>
        <w:adjustRightInd w:val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b/>
          <w:sz w:val="24"/>
          <w:szCs w:val="24"/>
        </w:rPr>
        <w:t xml:space="preserve">              Информация о возможности подключения к сетям инженерно-технического обеспечения</w:t>
      </w:r>
      <w:r w:rsidRPr="00EA1226">
        <w:rPr>
          <w:rFonts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22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 w:rsidRPr="00EA1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944 (девятьсот сорок четыре) рубля 34  копейки в год.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 w:rsidRPr="00EA1226">
        <w:rPr>
          <w:rFonts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 w:rsidRPr="00EA1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22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 w:rsidRPr="00EA122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 w:rsidR="00EA1226" w:rsidRPr="00EA1226" w:rsidRDefault="00EA1226" w:rsidP="00EA12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участия в аукционе заявители лично или через представителя по доверенности  предоставляют </w:t>
      </w:r>
      <w:r w:rsidRPr="00EA1226">
        <w:rPr>
          <w:rFonts w:ascii="Times New Roman" w:hAnsi="Times New Roman" w:cs="Times New Roman"/>
          <w:b/>
          <w:i/>
          <w:sz w:val="24"/>
          <w:szCs w:val="24"/>
        </w:rPr>
        <w:t>в установленный в извещении о проведен</w:t>
      </w:r>
      <w:proofErr w:type="gramStart"/>
      <w:r w:rsidRPr="00EA1226">
        <w:rPr>
          <w:rFonts w:ascii="Times New Roman" w:hAnsi="Times New Roman" w:cs="Times New Roman"/>
          <w:b/>
          <w:i/>
          <w:sz w:val="24"/>
          <w:szCs w:val="24"/>
        </w:rPr>
        <w:t>ии ау</w:t>
      </w:r>
      <w:proofErr w:type="gramEnd"/>
      <w:r w:rsidRPr="00EA1226">
        <w:rPr>
          <w:rFonts w:ascii="Times New Roman" w:hAnsi="Times New Roman" w:cs="Times New Roman"/>
          <w:b/>
          <w:i/>
          <w:sz w:val="24"/>
          <w:szCs w:val="24"/>
        </w:rPr>
        <w:t>кциона срок</w:t>
      </w:r>
      <w:r w:rsidRPr="00EA12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следующие документы:</w:t>
      </w:r>
    </w:p>
    <w:p w:rsidR="00EA1226" w:rsidRPr="00EA1226" w:rsidRDefault="00EA1226" w:rsidP="00EA12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A1226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EA1226">
        <w:rPr>
          <w:rFonts w:ascii="Times New Roman" w:eastAsia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A1226" w:rsidRPr="00EA1226" w:rsidRDefault="00EA1226" w:rsidP="00EA12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EA1226" w:rsidRPr="00EA1226" w:rsidRDefault="00EA1226" w:rsidP="00EA12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EA1226" w:rsidRPr="00EA1226" w:rsidRDefault="00EA1226" w:rsidP="00EA122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4) документы, подтверждающие внесение задатка.  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EA1226">
          <w:rPr>
            <w:rStyle w:val="aa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A1226">
        <w:rPr>
          <w:rFonts w:ascii="Times New Roman" w:hAnsi="Times New Roman" w:cs="Times New Roman"/>
          <w:sz w:val="24"/>
          <w:szCs w:val="24"/>
        </w:rPr>
        <w:t xml:space="preserve">8, начиная 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приема заявок по дату окончания приема заявок, указанных в настоящем </w:t>
      </w:r>
      <w:r w:rsidRPr="00EA1226">
        <w:rPr>
          <w:rFonts w:ascii="Times New Roman" w:hAnsi="Times New Roman" w:cs="Times New Roman"/>
          <w:sz w:val="24"/>
          <w:szCs w:val="24"/>
        </w:rPr>
        <w:lastRenderedPageBreak/>
        <w:t>извещении по форме, приложенной к информационному сообщению</w:t>
      </w:r>
      <w:r w:rsidRPr="00EA12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A1226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A1226" w:rsidRPr="00EA1226" w:rsidRDefault="00EA1226" w:rsidP="00EA12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EA1226" w:rsidRPr="00EA1226" w:rsidRDefault="00EA1226" w:rsidP="00EA1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EA1226">
        <w:rPr>
          <w:rFonts w:ascii="Times New Roman" w:hAnsi="Times New Roman" w:cs="Times New Roman"/>
          <w:bCs/>
          <w:iCs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A1226">
        <w:rPr>
          <w:rFonts w:ascii="Times New Roman" w:hAnsi="Times New Roman" w:cs="Times New Roman"/>
          <w:bCs/>
          <w:iCs/>
          <w:sz w:val="24"/>
          <w:szCs w:val="24"/>
        </w:rPr>
        <w:t xml:space="preserve"> подписания организатором аукциона протокола рассмотрения заявок. </w:t>
      </w:r>
    </w:p>
    <w:p w:rsidR="00EA1226" w:rsidRPr="00EA1226" w:rsidRDefault="00EA1226" w:rsidP="00EA122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226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EA122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 w:rsidRPr="00EA1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 w:rsidR="00EA1226" w:rsidRPr="00EA1226" w:rsidRDefault="00EA1226" w:rsidP="00EA122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2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 w:rsidRPr="00EA1226">
        <w:rPr>
          <w:rFonts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A1226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EA1226">
        <w:rPr>
          <w:rFonts w:ascii="Times New Roman" w:hAnsi="Times New Roman" w:cs="Times New Roman"/>
          <w:b/>
          <w:sz w:val="24"/>
          <w:szCs w:val="24"/>
        </w:rPr>
        <w:t>личный лицевой счет претендента</w:t>
      </w:r>
      <w:r w:rsidRPr="00EA1226">
        <w:rPr>
          <w:rFonts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EA12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Look w:val="04A0" w:firstRow="1" w:lastRow="0" w:firstColumn="1" w:lastColumn="0" w:noHBand="0" w:noVBand="1"/>
      </w:tblPr>
      <w:tblGrid>
        <w:gridCol w:w="3285"/>
        <w:gridCol w:w="6704"/>
      </w:tblGrid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БИК: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EA1226" w:rsidRPr="00EA1226" w:rsidTr="00EA1226">
        <w:trPr>
          <w:tblCellSpacing w:w="15" w:type="dxa"/>
        </w:trPr>
        <w:tc>
          <w:tcPr>
            <w:tcW w:w="324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EA1226" w:rsidRPr="00EA1226" w:rsidRDefault="00EA1226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1226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EA1226" w:rsidRPr="00EA1226" w:rsidRDefault="00EA1226" w:rsidP="00EA122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EA1226">
        <w:rPr>
          <w:rStyle w:val="10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A1226">
        <w:rPr>
          <w:rStyle w:val="blk"/>
          <w:rFonts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A1226">
        <w:rPr>
          <w:rStyle w:val="blk"/>
          <w:rFonts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226">
        <w:rPr>
          <w:rFonts w:ascii="Times New Roman" w:hAnsi="Times New Roman" w:cs="Times New Roman"/>
          <w:sz w:val="24"/>
          <w:szCs w:val="24"/>
        </w:rPr>
        <w:t>лица, участвовавшие в аукционе, но не победившие в нем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- в случае если заявитель </w:t>
      </w:r>
      <w:r w:rsidRPr="00EA1226">
        <w:rPr>
          <w:rFonts w:ascii="Times New Roman" w:hAnsi="Times New Roman" w:cs="Times New Roman"/>
          <w:sz w:val="24"/>
          <w:szCs w:val="24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226">
        <w:rPr>
          <w:rFonts w:ascii="Times New Roman" w:hAnsi="Times New Roman" w:cs="Times New Roman"/>
          <w:sz w:val="24"/>
          <w:szCs w:val="24"/>
        </w:rPr>
        <w:t xml:space="preserve">заявителю, не допущенному к участию в аукционе -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его личные денежные средства на счете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 - в течение 3 (трех) рабочих дней со дня </w:t>
      </w:r>
      <w:r w:rsidRPr="00EA1226">
        <w:rPr>
          <w:rFonts w:ascii="Times New Roman" w:hAnsi="Times New Roman" w:cs="Times New Roman"/>
          <w:sz w:val="24"/>
          <w:szCs w:val="24"/>
        </w:rPr>
        <w:t>оформления протокола приема заявок на участие в аукционе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226" w:rsidRPr="00EA1226" w:rsidRDefault="00EA1226" w:rsidP="00EA12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p w:rsidR="00EA1226" w:rsidRPr="00EA1226" w:rsidRDefault="00EA1226" w:rsidP="00EA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6"/>
      <w:bookmarkEnd w:id="0"/>
      <w:r w:rsidRPr="00EA1226">
        <w:rPr>
          <w:rFonts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 w:rsidRPr="00EA1226">
        <w:rPr>
          <w:rFonts w:ascii="Times New Roman" w:hAnsi="Times New Roman" w:cs="Times New Roman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EA1226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пунктом 8</w:t>
        </w:r>
      </w:hyperlink>
      <w:r w:rsidRPr="00EA1226">
        <w:rPr>
          <w:rFonts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кциона размещается на </w:t>
      </w:r>
      <w:hyperlink r:id="rId10" w:history="1">
        <w:r w:rsidRPr="00EA1226">
          <w:rPr>
            <w:rStyle w:val="aa"/>
            <w:rFonts w:ascii="Times New Roman" w:hAnsi="Times New Roman" w:cs="Times New Roman"/>
            <w:color w:val="106BBE"/>
            <w:sz w:val="24"/>
            <w:szCs w:val="24"/>
          </w:rPr>
          <w:t>официальном сайте</w:t>
        </w:r>
      </w:hyperlink>
      <w:r w:rsidRPr="00EA1226">
        <w:rPr>
          <w:rFonts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A1226" w:rsidRPr="00EA1226" w:rsidRDefault="00EA1226" w:rsidP="00EA12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EA1226">
        <w:rPr>
          <w:b/>
        </w:rPr>
        <w:lastRenderedPageBreak/>
        <w:t>13.  Заявитель не допускается к участию в аукционе по следующим основаниям:</w:t>
      </w:r>
    </w:p>
    <w:p w:rsidR="00EA1226" w:rsidRPr="00EA1226" w:rsidRDefault="00EA1226" w:rsidP="00EA1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91281"/>
      <w:r w:rsidRPr="00EA1226">
        <w:rPr>
          <w:rFonts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91282"/>
      <w:bookmarkEnd w:id="2"/>
      <w:r w:rsidRPr="00EA122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A122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A122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1283"/>
      <w:bookmarkEnd w:id="3"/>
      <w:r w:rsidRPr="00EA1226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EA1226" w:rsidRPr="00EA1226" w:rsidRDefault="00EA1226" w:rsidP="00EA122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EA1226">
        <w:t>Отказ в допуске к участию в торгах по иным основаниям, кроме указанных в</w:t>
      </w:r>
      <w:r w:rsidRPr="00EA1226">
        <w:rPr>
          <w:rStyle w:val="apple-converted-space"/>
          <w:rFonts w:eastAsiaTheme="majorEastAsia"/>
        </w:rPr>
        <w:t> </w:t>
      </w:r>
      <w:r w:rsidRPr="00EA1226">
        <w:t>п.8 ст.39.12 Земельного кодекса РФ оснований, не допускается.</w:t>
      </w:r>
    </w:p>
    <w:bookmarkEnd w:id="1"/>
    <w:p w:rsidR="00EA1226" w:rsidRPr="00EA1226" w:rsidRDefault="00EA1226" w:rsidP="00EA1226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A1226">
        <w:rPr>
          <w:rFonts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</w:rPr>
      </w:pPr>
      <w:proofErr w:type="gramStart"/>
      <w:r w:rsidRPr="00EA1226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EA1226">
        <w:rPr>
          <w:rFonts w:ascii="Times New Roman" w:eastAsia="Times New Roman" w:hAnsi="Times New Roman" w:cs="Times New Roman"/>
          <w:i/>
          <w:sz w:val="24"/>
          <w:szCs w:val="24"/>
        </w:rPr>
        <w:t>не ранее чем через 10</w:t>
      </w:r>
      <w:r w:rsidRPr="00EA1226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Pr="00EA1226">
        <w:rPr>
          <w:rFonts w:ascii="Times New Roman" w:hAnsi="Times New Roman" w:cs="Times New Roman"/>
          <w:sz w:val="24"/>
          <w:szCs w:val="24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12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 w:rsidRPr="00EA1226">
        <w:rPr>
          <w:rFonts w:ascii="Times New Roman" w:hAnsi="Times New Roman" w:cs="Times New Roman"/>
          <w:i/>
          <w:sz w:val="24"/>
          <w:szCs w:val="24"/>
        </w:rPr>
        <w:t>в течение десяти</w:t>
      </w:r>
      <w:r w:rsidRPr="00EA1226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 w:rsidRPr="00EA1226">
        <w:rPr>
          <w:rFonts w:ascii="Times New Roman" w:hAnsi="Times New Roman" w:cs="Times New Roman"/>
          <w:i/>
          <w:sz w:val="24"/>
          <w:szCs w:val="24"/>
        </w:rPr>
        <w:t>в течение десяти дней</w:t>
      </w:r>
      <w:r w:rsidRPr="00EA1226">
        <w:rPr>
          <w:rFonts w:ascii="Times New Roman" w:hAnsi="Times New Roman" w:cs="Times New Roman"/>
          <w:sz w:val="24"/>
          <w:szCs w:val="24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226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A1226" w:rsidRPr="00EA1226" w:rsidRDefault="00EA1226" w:rsidP="00EA12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12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12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1226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EA1226">
        <w:rPr>
          <w:rFonts w:ascii="Times New Roman" w:hAnsi="Times New Roman" w:cs="Times New Roman"/>
          <w:sz w:val="24"/>
          <w:szCs w:val="24"/>
        </w:rPr>
        <w:lastRenderedPageBreak/>
        <w:t>аренды земельного участка этот участник не представил в администрацию Ромодановского муниципального района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EA1226" w:rsidRPr="00EA1226" w:rsidRDefault="00EA1226" w:rsidP="00EA1226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 w:cs="Times New Roman"/>
          <w:b/>
          <w:i/>
          <w:spacing w:val="-18"/>
          <w:sz w:val="24"/>
          <w:szCs w:val="24"/>
        </w:rPr>
      </w:pPr>
      <w:r w:rsidRPr="00EA1226">
        <w:rPr>
          <w:rFonts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 w:rsidR="00EA1226" w:rsidRPr="00EA1226" w:rsidRDefault="00EA1226" w:rsidP="00EA1226">
      <w:pPr>
        <w:pStyle w:val="a4"/>
        <w:spacing w:before="0" w:beforeAutospacing="0" w:after="0" w:afterAutospacing="0"/>
        <w:ind w:firstLine="544"/>
        <w:jc w:val="both"/>
      </w:pPr>
      <w:r w:rsidRPr="00EA1226">
        <w:rPr>
          <w:b/>
          <w:bCs/>
        </w:rPr>
        <w:t>Дополнительную информацию:</w:t>
      </w:r>
      <w:r w:rsidRPr="00EA1226">
        <w:rPr>
          <w:rStyle w:val="apple-converted-space"/>
          <w:rFonts w:eastAsiaTheme="majorEastAsia"/>
        </w:rPr>
        <w:t> </w:t>
      </w:r>
      <w:r w:rsidRPr="00EA1226">
        <w:t xml:space="preserve">можно получить по адресу: Республика Мордовия, </w:t>
      </w:r>
      <w:proofErr w:type="spellStart"/>
      <w:r w:rsidRPr="00EA1226">
        <w:t>рп</w:t>
      </w:r>
      <w:proofErr w:type="spellEnd"/>
      <w:r w:rsidRPr="00EA1226">
        <w:t xml:space="preserve"> Торбеево, ул. </w:t>
      </w:r>
      <w:proofErr w:type="spellStart"/>
      <w:r w:rsidRPr="00EA1226">
        <w:t>К.Маркса</w:t>
      </w:r>
      <w:proofErr w:type="spellEnd"/>
      <w:r w:rsidRPr="00EA1226">
        <w:t xml:space="preserve">, стр.7б., </w:t>
      </w:r>
      <w:proofErr w:type="spellStart"/>
      <w:r w:rsidRPr="00EA1226">
        <w:t>помещ</w:t>
      </w:r>
      <w:proofErr w:type="spellEnd"/>
      <w:r w:rsidRPr="00EA1226">
        <w:t xml:space="preserve">. 2, </w:t>
      </w:r>
      <w:proofErr w:type="spellStart"/>
      <w:r w:rsidRPr="00EA1226">
        <w:t>каб</w:t>
      </w:r>
      <w:proofErr w:type="spellEnd"/>
      <w:r w:rsidRPr="00EA1226">
        <w:t>. № 5, № тел.: 8(83456)2-01-02 в период приема заявок и на официальном сайте</w:t>
      </w:r>
      <w:r w:rsidRPr="00EA1226">
        <w:rPr>
          <w:rStyle w:val="apple-converted-space"/>
          <w:rFonts w:eastAsiaTheme="majorEastAsia"/>
        </w:rPr>
        <w:t> </w:t>
      </w:r>
      <w:hyperlink r:id="rId11" w:history="1">
        <w:r w:rsidRPr="00EA1226">
          <w:rPr>
            <w:rStyle w:val="aa"/>
            <w:lang w:val="en-US"/>
          </w:rPr>
          <w:t>www</w:t>
        </w:r>
        <w:r w:rsidRPr="00EA1226">
          <w:rPr>
            <w:rStyle w:val="aa"/>
          </w:rPr>
          <w:t>.</w:t>
        </w:r>
        <w:proofErr w:type="spellStart"/>
        <w:r w:rsidRPr="00EA1226">
          <w:rPr>
            <w:rStyle w:val="aa"/>
            <w:lang w:val="en-US"/>
          </w:rPr>
          <w:t>torgi</w:t>
        </w:r>
        <w:proofErr w:type="spellEnd"/>
        <w:r w:rsidRPr="00EA1226">
          <w:rPr>
            <w:rStyle w:val="aa"/>
          </w:rPr>
          <w:t>.</w:t>
        </w:r>
        <w:proofErr w:type="spellStart"/>
        <w:r w:rsidRPr="00EA1226">
          <w:rPr>
            <w:rStyle w:val="aa"/>
            <w:lang w:val="en-US"/>
          </w:rPr>
          <w:t>gov</w:t>
        </w:r>
        <w:proofErr w:type="spellEnd"/>
        <w:r w:rsidRPr="00EA1226">
          <w:rPr>
            <w:rStyle w:val="aa"/>
          </w:rPr>
          <w:t>.</w:t>
        </w:r>
        <w:proofErr w:type="spellStart"/>
        <w:r w:rsidRPr="00EA1226">
          <w:rPr>
            <w:rStyle w:val="aa"/>
            <w:lang w:val="en-US"/>
          </w:rPr>
          <w:t>ru</w:t>
        </w:r>
        <w:proofErr w:type="spellEnd"/>
      </w:hyperlink>
      <w:r w:rsidRPr="00EA1226">
        <w:t>.</w:t>
      </w:r>
    </w:p>
    <w:p w:rsidR="00EA1226" w:rsidRDefault="00EA1226" w:rsidP="00EA1226">
      <w:pPr>
        <w:pStyle w:val="a4"/>
        <w:spacing w:before="0" w:beforeAutospacing="0" w:after="0" w:afterAutospacing="0"/>
        <w:ind w:firstLine="544"/>
        <w:jc w:val="both"/>
      </w:pPr>
    </w:p>
    <w:p w:rsidR="009015EC" w:rsidRPr="009015EC" w:rsidRDefault="009015EC" w:rsidP="009015EC">
      <w:pPr>
        <w:pStyle w:val="a4"/>
        <w:spacing w:before="0" w:beforeAutospacing="0" w:after="0" w:afterAutospacing="0"/>
        <w:ind w:firstLine="544"/>
        <w:jc w:val="both"/>
        <w:rPr>
          <w:color w:val="000000"/>
        </w:rPr>
      </w:pPr>
      <w:bookmarkStart w:id="5" w:name="_GoBack"/>
      <w:bookmarkEnd w:id="5"/>
    </w:p>
    <w:tbl>
      <w:tblPr>
        <w:tblW w:w="9678" w:type="dxa"/>
        <w:tblInd w:w="108" w:type="dxa"/>
        <w:tblLook w:val="0000" w:firstRow="0" w:lastRow="0" w:firstColumn="0" w:lastColumn="0" w:noHBand="0" w:noVBand="0"/>
      </w:tblPr>
      <w:tblGrid>
        <w:gridCol w:w="3125"/>
        <w:gridCol w:w="3240"/>
        <w:gridCol w:w="3313"/>
      </w:tblGrid>
      <w:tr w:rsidR="00AA2C01" w:rsidRPr="00B721DB" w:rsidTr="00B16F26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FC2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РМ</w:t>
            </w: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C25DD">
              <w:rPr>
                <w:rFonts w:ascii="Times New Roman" w:hAnsi="Times New Roman" w:cs="Times New Roman"/>
                <w:b/>
                <w:sz w:val="20"/>
                <w:szCs w:val="20"/>
              </w:rPr>
              <w:t>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РМ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C01" w:rsidRPr="00B721DB" w:rsidRDefault="00AA2C01" w:rsidP="005228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2C01" w:rsidRPr="00B721DB" w:rsidRDefault="00AA2C01" w:rsidP="005228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Торбеевский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район, </w:t>
            </w:r>
            <w:proofErr w:type="spellStart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>рпТорбеево</w:t>
            </w:r>
            <w:proofErr w:type="spellEnd"/>
            <w:r w:rsidRPr="00B72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AA2C01" w:rsidRPr="00B721DB" w:rsidRDefault="00AA2C01" w:rsidP="005228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4242">
              <w:rPr>
                <w:rFonts w:ascii="Times New Roman" w:hAnsi="Times New Roman" w:cs="Times New Roman"/>
                <w:b/>
                <w:sz w:val="20"/>
                <w:szCs w:val="20"/>
              </w:rPr>
              <w:t>Карла Маркса строение 7б помещение 2</w:t>
            </w:r>
          </w:p>
          <w:p w:rsidR="00AA2C01" w:rsidRPr="00B721DB" w:rsidRDefault="00AA2C01" w:rsidP="0052281B">
            <w:pPr>
              <w:pStyle w:val="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0"/>
              <w:ind w:left="576" w:hanging="576"/>
              <w:rPr>
                <w:sz w:val="20"/>
              </w:rPr>
            </w:pPr>
            <w:r w:rsidRPr="00B721DB">
              <w:rPr>
                <w:sz w:val="20"/>
              </w:rPr>
              <w:t>Телефон: 2-01-00</w:t>
            </w:r>
          </w:p>
        </w:tc>
      </w:tr>
    </w:tbl>
    <w:p w:rsidR="002C1A4F" w:rsidRDefault="00EA1226"/>
    <w:sectPr w:rsidR="002C1A4F" w:rsidSect="009015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2C169F"/>
    <w:multiLevelType w:val="hybridMultilevel"/>
    <w:tmpl w:val="E25EACCE"/>
    <w:lvl w:ilvl="0" w:tplc="EF1CA71A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 w:tplc="539A8B44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0FC65CF8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plc="E9EA359A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plc="D98C8ED0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plc="5648591C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plc="E20EC284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plc="E0F25496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plc="8C3C3FF4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2">
    <w:nsid w:val="61012868"/>
    <w:multiLevelType w:val="hybridMultilevel"/>
    <w:tmpl w:val="9A7CECB2"/>
    <w:lvl w:ilvl="0" w:tplc="228A5A5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27CAD756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plc="AF26B0B8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plc="344258D6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plc="932A1676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plc="F320C760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plc="59629000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plc="E11C9A28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plc="8F46E17C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1226"/>
    <w:rsid w:val="00EA75E7"/>
    <w:rsid w:val="00ED77DF"/>
    <w:rsid w:val="00EE6E18"/>
    <w:rsid w:val="00F54242"/>
    <w:rsid w:val="00FA5734"/>
    <w:rsid w:val="00FA6ADC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A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EA1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EA1226"/>
  </w:style>
  <w:style w:type="table" w:customStyle="1" w:styleId="TableNormal">
    <w:name w:val="Table Normal"/>
    <w:uiPriority w:val="2"/>
    <w:semiHidden/>
    <w:qFormat/>
    <w:rsid w:val="00EA1226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A2C01"/>
    <w:pPr>
      <w:keepNext/>
      <w:keepLines/>
      <w:tabs>
        <w:tab w:val="num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A2C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Normal (Web)"/>
    <w:basedOn w:val="a"/>
    <w:uiPriority w:val="99"/>
    <w:rsid w:val="00A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AA2C0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A2C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A2C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657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4657D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57D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4657D1"/>
    <w:rPr>
      <w:rFonts w:eastAsiaTheme="minorEastAsia"/>
      <w:lang w:eastAsia="ru-RU"/>
    </w:rPr>
  </w:style>
  <w:style w:type="paragraph" w:customStyle="1" w:styleId="printj">
    <w:name w:val="printj"/>
    <w:basedOn w:val="a"/>
    <w:rsid w:val="004657D1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57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1"/>
    <w:uiPriority w:val="99"/>
    <w:unhideWhenUsed/>
    <w:rsid w:val="004657D1"/>
    <w:rPr>
      <w:color w:val="0000FF"/>
      <w:u w:val="single"/>
    </w:rPr>
  </w:style>
  <w:style w:type="paragraph" w:customStyle="1" w:styleId="p7">
    <w:name w:val="p7"/>
    <w:basedOn w:val="a"/>
    <w:rsid w:val="0046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D1C81"/>
  </w:style>
  <w:style w:type="paragraph" w:styleId="ab">
    <w:name w:val="List Paragraph"/>
    <w:basedOn w:val="a"/>
    <w:uiPriority w:val="34"/>
    <w:qFormat/>
    <w:rsid w:val="000D1C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Гипертекстовая ссылка"/>
    <w:basedOn w:val="a1"/>
    <w:uiPriority w:val="99"/>
    <w:rsid w:val="000D1C81"/>
    <w:rPr>
      <w:color w:val="106BBE"/>
    </w:rPr>
  </w:style>
  <w:style w:type="paragraph" w:customStyle="1" w:styleId="s1">
    <w:name w:val="s_1"/>
    <w:basedOn w:val="a"/>
    <w:uiPriority w:val="99"/>
    <w:rsid w:val="000D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5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645DBE"/>
    <w:rPr>
      <w:rFonts w:ascii="Calibri" w:eastAsia="Times New Roman" w:hAnsi="Calibri" w:cs="Calibri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45D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rsid w:val="00645DBE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C54E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e">
    <w:name w:val="Strong"/>
    <w:qFormat/>
    <w:rsid w:val="00C54E1A"/>
    <w:rPr>
      <w:b/>
      <w:bCs/>
    </w:rPr>
  </w:style>
  <w:style w:type="paragraph" w:styleId="af">
    <w:name w:val="No Spacing"/>
    <w:uiPriority w:val="1"/>
    <w:qFormat/>
    <w:rsid w:val="00C5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A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EA1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EA1226"/>
  </w:style>
  <w:style w:type="table" w:customStyle="1" w:styleId="TableNormal">
    <w:name w:val="Table Normal"/>
    <w:uiPriority w:val="2"/>
    <w:semiHidden/>
    <w:qFormat/>
    <w:rsid w:val="00EA1226"/>
    <w:pPr>
      <w:widowControl w:val="0"/>
      <w:autoSpaceDE w:val="0"/>
      <w:autoSpaceDN w:val="0"/>
      <w:spacing w:after="0" w:line="240" w:lineRule="auto"/>
    </w:pPr>
    <w:rPr>
      <w:rFonts w:eastAsiaTheme="minorHAnsi"/>
      <w:color w:val="00000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2023-05-12T11:06:00Z</cp:lastPrinted>
  <dcterms:created xsi:type="dcterms:W3CDTF">2023-05-12T11:07:00Z</dcterms:created>
  <dcterms:modified xsi:type="dcterms:W3CDTF">2023-05-12T11:07:00Z</dcterms:modified>
</cp:coreProperties>
</file>