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0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>.0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7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Информационное сообщение о проведени</w:t>
      </w:r>
      <w:bookmarkStart w:id="5" w:name="_GoBack"/>
      <w:bookmarkEnd w:id="5"/>
      <w:r>
        <w:rPr>
          <w:rFonts w:hint="default" w:ascii="Times New Roman" w:hAnsi="Times New Roman" w:cs="Times New Roman"/>
          <w:b/>
          <w:sz w:val="24"/>
          <w:szCs w:val="24"/>
        </w:rPr>
        <w:t xml:space="preserve">и электронного аукциона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по продаже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купли-продажи</w:t>
      </w:r>
      <w:r>
        <w:rPr>
          <w:rFonts w:hint="default" w:ascii="Times New Roman" w:hAnsi="Times New Roman" w:cs="Times New Roman"/>
          <w:sz w:val="24"/>
          <w:szCs w:val="24"/>
        </w:rPr>
        <w:t xml:space="preserve"> земельного участка.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: Постановление администрации Торбеевского городского поселения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июл</w:t>
      </w:r>
      <w:r>
        <w:rPr>
          <w:rFonts w:hint="default" w:ascii="Times New Roman" w:hAnsi="Times New Roman" w:cs="Times New Roman"/>
          <w:sz w:val="24"/>
          <w:szCs w:val="24"/>
        </w:rPr>
        <w:t xml:space="preserve">я 2023г.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222</w:t>
      </w:r>
      <w:r>
        <w:rPr>
          <w:rFonts w:hint="default" w:ascii="Times New Roman" w:hAnsi="Times New Roman" w:cs="Times New Roman"/>
          <w:sz w:val="24"/>
          <w:szCs w:val="24"/>
        </w:rPr>
        <w:t xml:space="preserve"> «О  проведении электронного аукциона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по продаже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земельного участка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rFonts w:hint="default"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bookmarkStart w:id="0" w:name="sub_13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rFonts w:hint="default"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"https://etp.roseltorg.ru/"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https://etp.roseltorg.ru/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июля 2023 года в 13:00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04 августа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2023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7 августа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2023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8 августа 2023 года в 11:00 по МСК времени.</w:t>
            </w:r>
          </w:p>
        </w:tc>
      </w:tr>
    </w:tbl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предложивший наибольшую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цену 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аукциона определяется цена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земельного участка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BatangChe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BatangChe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бытовое обслуживание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площадью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129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(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сто двадцать девять</w:t>
      </w:r>
      <w:r>
        <w:rPr>
          <w:rFonts w:hint="default" w:ascii="Times New Roman" w:hAnsi="Times New Roman" w:eastAsia="BatangChe" w:cs="Times New Roman"/>
          <w:sz w:val="24"/>
          <w:szCs w:val="24"/>
        </w:rPr>
        <w:t>) кв. м., с кадастровым номером 13:21:01010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eastAsia="BatangChe" w:cs="Times New Roman"/>
          <w:sz w:val="24"/>
          <w:szCs w:val="24"/>
        </w:rPr>
        <w:t>:4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31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Интернациональ</w:t>
      </w:r>
      <w:r>
        <w:rPr>
          <w:rFonts w:hint="default" w:ascii="Times New Roman" w:hAnsi="Times New Roman" w:eastAsia="BatangChe" w:cs="Times New Roman"/>
          <w:sz w:val="24"/>
          <w:szCs w:val="24"/>
        </w:rPr>
        <w:t>ная, 1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6Г</w:t>
      </w:r>
      <w:r>
        <w:rPr>
          <w:rFonts w:hint="default" w:ascii="Times New Roman" w:hAnsi="Times New Roman" w:eastAsia="BatangChe" w:cs="Times New Roman"/>
          <w:sz w:val="24"/>
          <w:szCs w:val="24"/>
        </w:rPr>
        <w:t>, ограничения прав на земельный участок отсутствуют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</w:rPr>
        <w:t xml:space="preserve">Земельный участок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hint="default" w:ascii="Times New Roman" w:hAnsi="Times New Roman" w:eastAsia="Times New Roman" w:cs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hint="default" w:ascii="Times New Roman" w:hAnsi="Times New Roman" w:eastAsia="Times New Roman" w:cs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1. Минимальные расстояния до границы соседнего индивидуального земельного участка, м: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hint="default" w:ascii="Times New Roman" w:hAnsi="Times New Roman" w:eastAsia="Times New Roman" w:cs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4;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hint="default" w:ascii="Times New Roman" w:hAnsi="Times New Roman" w:eastAsia="Times New Roman" w:cs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1.</w:t>
      </w:r>
    </w:p>
    <w:p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hint="default" w:ascii="Times New Roman" w:hAnsi="Times New Roman" w:eastAsia="Times New Roman" w:cs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hint="default" w:ascii="Times New Roman" w:hAnsi="Times New Roman" w:eastAsia="Times New Roman" w:cs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hint="default" w:ascii="Times New Roman" w:hAnsi="Times New Roman" w:eastAsia="Times New Roman" w:cs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застройки: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hint="default" w:ascii="Times New Roman" w:hAnsi="Times New Roman" w:eastAsia="Times New Roman" w:cs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расстояние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hint="default" w:ascii="Times New Roman" w:hAnsi="Times New Roman" w:eastAsia="Times New Roman" w:cs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безопасности».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hint="default" w:ascii="Times New Roman" w:hAnsi="Times New Roman" w:eastAsia="Times New Roman" w:cs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м.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как</w:t>
      </w:r>
      <w:r>
        <w:rPr>
          <w:rFonts w:hint="default" w:ascii="Times New Roman" w:hAnsi="Times New Roman" w:eastAsia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минимум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на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одного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hint="default" w:ascii="Times New Roman" w:hAnsi="Times New Roman" w:eastAsia="Times New Roman" w:cs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обеих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сторон</w:t>
      </w:r>
      <w:r>
        <w:rPr>
          <w:rFonts w:hint="default" w:ascii="Times New Roman" w:hAnsi="Times New Roman" w:eastAsia="Times New Roman" w:cs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>улицы.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м:</w:t>
      </w:r>
    </w:p>
    <w:p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37"/>
        <w:tblW w:w="0" w:type="auto"/>
        <w:tblInd w:w="1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24"/>
        <w:gridCol w:w="1132"/>
        <w:gridCol w:w="112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7" w:lineRule="auto"/>
              <w:ind w:left="492" w:hanging="22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Нормативный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1" w:lineRule="exact"/>
              <w:ind w:left="103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Поголовье (шт.),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19" w:hanging="4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овцы,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138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233" w:right="24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39" w:hanging="7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нутрии,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песцы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м;</w:t>
      </w:r>
    </w:p>
    <w:p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hint="default" w:ascii="Times New Roman" w:hAnsi="Times New Roman" w:eastAsia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увеличено).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hint="default" w:ascii="Times New Roman" w:hAnsi="Times New Roman" w:eastAsia="Times New Roman" w:cs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Определить начальную цену предмета аукциона (продажа земельного участка), указанного в п.1 настоящего постановления, рассчитанную согласно п.12 ст. 39.11 Земельного кодекса Российской Федерации в размере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57 263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пятьдесят семь </w:t>
      </w:r>
      <w:r>
        <w:rPr>
          <w:rFonts w:hint="default" w:ascii="Times New Roman" w:hAnsi="Times New Roman" w:cs="Times New Roman"/>
          <w:sz w:val="24"/>
          <w:szCs w:val="24"/>
        </w:rPr>
        <w:t xml:space="preserve">тысяч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двести шест</w:t>
      </w:r>
      <w:r>
        <w:rPr>
          <w:rFonts w:hint="default" w:ascii="Times New Roman" w:hAnsi="Times New Roman" w:cs="Times New Roman"/>
          <w:sz w:val="24"/>
          <w:szCs w:val="24"/>
        </w:rPr>
        <w:t>ьдесят) рублей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копе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йки.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"consultantplus://offline/ref=22E2BDF78A9D4455BB71EF6DCF3945A48527CE17D328D641F9175B09C51C4CCB27FEC3204C64FE5B2C98AA31823D9FD50421B8B765D4v418N"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t xml:space="preserve">пункте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8, </w:t>
      </w:r>
      <w:r>
        <w:rPr>
          <w:rFonts w:hint="default" w:ascii="Times New Roman" w:hAnsi="Times New Roman" w:cs="Times New Roman"/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29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rFonts w:hint="default" w:ascii="Times New Roman" w:hAnsi="Times New Roman" w:cs="Times New Roman"/>
          <w:b/>
          <w:sz w:val="24"/>
          <w:szCs w:val="24"/>
        </w:rPr>
        <w:t>личный лицевой счет претендента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8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Задаток засчитывается в счет оплаты 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единственным участником аукциона, с которым договор </w:t>
      </w:r>
      <w:r>
        <w:rPr>
          <w:rStyle w:val="36"/>
          <w:rFonts w:hint="default" w:ascii="Times New Roman" w:hAnsi="Times New Roman" w:cs="Times New Roman"/>
          <w:sz w:val="24"/>
          <w:szCs w:val="24"/>
          <w:lang w:val="ru-RU"/>
        </w:rPr>
        <w:t>купли-продажи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38"/>
          <w:rFonts w:hint="default"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с которым договор </w:t>
      </w:r>
      <w:r>
        <w:rPr>
          <w:rStyle w:val="36"/>
          <w:rFonts w:hint="default" w:ascii="Times New Roman" w:hAnsi="Times New Roman" w:cs="Times New Roman"/>
          <w:sz w:val="24"/>
          <w:szCs w:val="24"/>
          <w:lang w:val="ru-RU"/>
        </w:rPr>
        <w:t>купли-продажи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Задатки, внесенные этими лицами, не заключившими в установленном порядке договоры </w:t>
      </w:r>
      <w:r>
        <w:rPr>
          <w:rStyle w:val="36"/>
          <w:rFonts w:hint="default" w:ascii="Times New Roman" w:hAnsi="Times New Roman" w:cs="Times New Roman"/>
          <w:sz w:val="24"/>
          <w:szCs w:val="24"/>
          <w:lang w:val="ru-RU"/>
        </w:rPr>
        <w:t>купли-продажи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в случае если заявитель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bookmarkEnd w:id="0"/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sub_56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</w:rPr>
        <w:t>. Отказ от проведения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"file:///C:\\Users\\Иван\\Desktop\\работа\\земля\\Аукционы\\Для%20ИЖС\\Мазилуг,%20170\\документация.docx" \l "sub_39118"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пунктом 8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"garantF1://890941.25746134"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официальном сайте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8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</w:t>
      </w:r>
      <w:r>
        <w:rPr>
          <w:rFonts w:hint="default" w:ascii="Times New Roman" w:hAnsi="Times New Roman" w:cs="Times New Roman"/>
          <w:b/>
          <w:lang w:val="ru-RU"/>
        </w:rPr>
        <w:t>2</w:t>
      </w:r>
      <w:r>
        <w:rPr>
          <w:rFonts w:hint="default" w:ascii="Times New Roman" w:hAnsi="Times New Roman" w:cs="Times New Roman"/>
          <w:b/>
        </w:rPr>
        <w:t>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sub_391281"/>
      <w:r>
        <w:rPr>
          <w:rFonts w:hint="default"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sub_391282"/>
      <w:r>
        <w:rPr>
          <w:rFonts w:hint="default"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sub_391283"/>
      <w:r>
        <w:rPr>
          <w:rFonts w:hint="default"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8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 в допуске к участию в торгах по иным основаниям, кроме указанных в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п.8 ст.39.12 Земельного кодекса РФ оснований, не допускается.</w:t>
      </w:r>
    </w:p>
    <w:bookmarkEnd w:id="1"/>
    <w:p>
      <w:pPr>
        <w:spacing w:after="0" w:line="240" w:lineRule="auto"/>
        <w:ind w:left="709" w:hanging="142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 xml:space="preserve">. Порядок заключения договора 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  <w:lang w:val="ru-RU"/>
        </w:rPr>
        <w:t>купли-продажи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 xml:space="preserve">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Победитель аукциона обязан заключить договор купли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не ранее чем через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купли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земельного участка. При этом цена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 дней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купли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земельного участка. При этом цена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купли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земельного участка в десятидневный срок со дня составления протокола о результатах аукциона. 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купли-продажи</w:t>
      </w:r>
      <w:r>
        <w:rPr>
          <w:rFonts w:hint="default" w:ascii="Times New Roman" w:hAnsi="Times New Roman" w:cs="Times New Roman"/>
          <w:sz w:val="24"/>
          <w:szCs w:val="24"/>
        </w:rPr>
        <w:t xml:space="preserve"> земельного участка этот участник не представил в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. Порядок ознакомления с иной информацией.</w:t>
      </w:r>
    </w:p>
    <w:p>
      <w:pPr>
        <w:pStyle w:val="13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Дополнительную информацию: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lang w:val="en-US"/>
        </w:rPr>
        <w:t>www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torgi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gov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ru</w:t>
      </w:r>
      <w:r>
        <w:rPr>
          <w:rStyle w:val="9"/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p>
      <w:pPr>
        <w:pStyle w:val="13"/>
        <w:spacing w:before="0" w:beforeAutospacing="0" w:after="0" w:afterAutospacing="0"/>
        <w:ind w:firstLine="544"/>
        <w:jc w:val="both"/>
      </w:pP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169F"/>
    <w:multiLevelType w:val="multilevel"/>
    <w:tmpl w:val="562C169F"/>
    <w:lvl w:ilvl="0" w:tentative="0">
      <w:start w:val="1"/>
      <w:numFmt w:val="decimal"/>
      <w:lvlText w:val="%1."/>
      <w:lvlJc w:val="left"/>
      <w:pPr>
        <w:ind w:left="928" w:hanging="274"/>
      </w:pPr>
      <w:rPr>
        <w:rFonts w:hint="default" w:ascii="Times New Roman" w:hAnsi="Times New Roman" w:eastAsia="Times New Roman" w:cs="Times New Roman"/>
        <w:spacing w:val="0"/>
        <w:w w:val="103"/>
        <w:sz w:val="24"/>
        <w:szCs w:val="24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1432" w:hanging="21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 w:tentative="0">
      <w:start w:val="0"/>
      <w:numFmt w:val="bullet"/>
      <w:lvlText w:val="-"/>
      <w:lvlJc w:val="left"/>
      <w:pPr>
        <w:ind w:left="1569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A451E98"/>
    <w:rsid w:val="310A3BD1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7"/>
    <w:link w:val="11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7"/>
    <w:link w:val="5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7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7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7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6">
    <w:name w:val="blk"/>
    <w:qFormat/>
    <w:uiPriority w:val="0"/>
  </w:style>
  <w:style w:type="table" w:customStyle="1" w:styleId="37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2023-07-06T07:19:51Z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EA0E8A1D22C64ECEB881775FE6E60268</vt:lpwstr>
  </property>
</Properties>
</file>