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30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25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289456DA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sz w:val="28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ОРБЕЕВСКОГО ГОРОДСКОГО ПОСЕЛЕНИЯ</w:t>
      </w:r>
    </w:p>
    <w:p w14:paraId="2E48E30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4512A7F8">
      <w:pPr>
        <w:pStyle w:val="36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РЕСПУБЛИКИ МОРДОВИЯ</w:t>
      </w:r>
    </w:p>
    <w:p w14:paraId="2C3E1C4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BB221C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F20D741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 w14:paraId="48D21F6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июля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2024 г.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                               №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>252</w:t>
      </w:r>
    </w:p>
    <w:p w14:paraId="61974742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рп. Торбеево</w:t>
      </w:r>
    </w:p>
    <w:p w14:paraId="05CCF0D9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</w:rPr>
      </w:pPr>
    </w:p>
    <w:p w14:paraId="13B13FEF">
      <w:pPr>
        <w:pStyle w:val="37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Style w:val="38"/>
          <w:rFonts w:hint="default" w:ascii="Times New Roman" w:hAnsi="Times New Roman" w:cs="Times New Roman"/>
          <w:sz w:val="28"/>
          <w:szCs w:val="28"/>
        </w:rPr>
        <w:t xml:space="preserve">принятии решения о реализации бюджетных </w:t>
      </w:r>
    </w:p>
    <w:p w14:paraId="3772CF6C">
      <w:pPr>
        <w:pStyle w:val="37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after="0" w:line="240" w:lineRule="auto"/>
        <w:jc w:val="center"/>
        <w:textAlignment w:val="auto"/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38"/>
          <w:rFonts w:hint="default" w:ascii="Times New Roman" w:hAnsi="Times New Roman" w:cs="Times New Roman"/>
          <w:sz w:val="28"/>
          <w:szCs w:val="28"/>
        </w:rPr>
        <w:t>инвестиций в объекты муниципальной собственности Торбеевского городского поселения</w:t>
      </w:r>
      <w:r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  <w:t xml:space="preserve"> Торбеевского муниципального района </w:t>
      </w:r>
    </w:p>
    <w:p w14:paraId="7C43A2DE">
      <w:pPr>
        <w:pStyle w:val="37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  <w:t>Республики Мордовия</w:t>
      </w:r>
    </w:p>
    <w:p w14:paraId="232E134E">
      <w:pPr>
        <w:pStyle w:val="39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after="0" w:line="240" w:lineRule="auto"/>
        <w:ind w:left="610" w:right="0" w:firstLine="662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D28CDEC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3CEFFF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В соответствии с пунктом 2 статьи 79 Бюджетного кодекса Российской Федерации, постановлением Администрации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Торбеевского городского поселения Торбеев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ского муниципального района Республики Мордовия от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29 июля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2024 года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251 </w:t>
      </w:r>
      <w:r>
        <w:rPr>
          <w:rFonts w:hint="default" w:ascii="Times New Roman" w:hAnsi="Times New Roman" w:cs="Times New Roman"/>
          <w:bCs/>
          <w:sz w:val="28"/>
          <w:szCs w:val="28"/>
        </w:rPr>
        <w:t>«Об утверждении Порядка принятия решения о подготовке и реализации бюджетных инвестиций в объекты муниципальной собственности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Cs/>
          <w:sz w:val="28"/>
          <w:szCs w:val="28"/>
        </w:rPr>
        <w:t>» Администрация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Торбеевского городского поселения </w:t>
      </w:r>
    </w:p>
    <w:p w14:paraId="3D6CAC1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614500D2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ПОСТАНОВЛЯЕТ: </w:t>
      </w:r>
    </w:p>
    <w:p w14:paraId="561CFD6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</w:p>
    <w:p w14:paraId="75DDBF1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Принять </w:t>
      </w:r>
      <w:r>
        <w:rPr>
          <w:rStyle w:val="38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решения о реализации бюджетных инвестиций в объекты муниципальной собственности Торбеевского городского поселения</w:t>
      </w:r>
      <w:r>
        <w:rPr>
          <w:rStyle w:val="38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 Торбеевского муниципального района Республики Мордовия</w:t>
      </w:r>
      <w:r>
        <w:rPr>
          <w:rStyle w:val="38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 согласно приложени</w:t>
      </w:r>
      <w:r>
        <w:rPr>
          <w:rStyle w:val="38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й 1, 2</w:t>
      </w:r>
      <w:r>
        <w:rPr>
          <w:rStyle w:val="38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.</w:t>
      </w:r>
    </w:p>
    <w:p w14:paraId="03D8D4C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информационном бюллетене «Торбеевский  Вестник»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 распространяет свое действие на правоотношения, возникшие с 1 января 2024 года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84C05A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72CE6AC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0609A22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Глава администрации </w:t>
      </w:r>
    </w:p>
    <w:p w14:paraId="4D1E3EA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Торбеевского городского поселения </w:t>
      </w:r>
    </w:p>
    <w:p w14:paraId="0CBE641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Торбеевского муниципального района                           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0"/>
          <w:lang w:val="ru-RU" w:eastAsia="zh-CN" w:bidi="ar-SA"/>
        </w:rPr>
        <w:t>А.Н.Балашов</w:t>
      </w:r>
    </w:p>
    <w:p w14:paraId="6B1063C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474AF89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460A969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1D0FE22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465BA6B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6C9DFF7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25971FA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7EBA08A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cs="Times New Roma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pos w:val="beneathText"/>
            <w:numFmt w:val="decimal"/>
          </w:footnotePr>
          <w:pgSz w:w="11906" w:h="16838"/>
          <w:pgMar w:top="1134" w:right="851" w:bottom="1134" w:left="1134" w:header="709" w:footer="709" w:gutter="0"/>
          <w:pgNumType w:fmt="decimal" w:start="1"/>
          <w:cols w:space="720" w:num="1"/>
          <w:titlePg/>
          <w:rtlGutter w:val="0"/>
          <w:docGrid w:linePitch="360" w:charSpace="0"/>
        </w:sectPr>
      </w:pPr>
    </w:p>
    <w:p w14:paraId="15C28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</w:t>
      </w:r>
    </w:p>
    <w:p w14:paraId="37994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к постановлению Администрации</w:t>
      </w:r>
    </w:p>
    <w:p w14:paraId="54017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>Торбеевского городского поселения</w:t>
      </w:r>
    </w:p>
    <w:p w14:paraId="6B538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248A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 w14:paraId="1F89D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июля </w:t>
      </w:r>
      <w:r>
        <w:rPr>
          <w:rFonts w:hint="default" w:ascii="Times New Roman" w:hAnsi="Times New Roman" w:cs="Times New Roman"/>
          <w:sz w:val="28"/>
          <w:szCs w:val="28"/>
        </w:rPr>
        <w:t>2024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252</w:t>
      </w:r>
    </w:p>
    <w:p w14:paraId="308003E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Распределение</w:t>
      </w:r>
    </w:p>
    <w:p w14:paraId="1D21322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бюджетных инвестиций за счет средств бюджета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Торбеевского городского поселения Торбеевского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муниципального района в объекты капитального строительства муниципальной собственности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>Торбеевского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муниципального района в 2024-2026 годах</w:t>
      </w:r>
    </w:p>
    <w:p w14:paraId="40690EF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Cs/>
          <w:sz w:val="20"/>
          <w:szCs w:val="20"/>
        </w:rPr>
      </w:pP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1800"/>
        <w:gridCol w:w="2340"/>
        <w:gridCol w:w="2340"/>
        <w:gridCol w:w="1980"/>
        <w:gridCol w:w="1630"/>
      </w:tblGrid>
      <w:tr w14:paraId="196E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DBDD0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F21E6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 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EA497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91A2A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B285B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заказчика- застройщика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4CD1F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Мощность (прирост мощности) объекта капитального строительства подлежащего вводу, мощность объекта недвижимого имущества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F1DF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Срок ввода в эксплуатацию (приобретение) объект, (год)</w:t>
            </w:r>
          </w:p>
        </w:tc>
      </w:tr>
      <w:tr w14:paraId="180B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3B090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CDDA8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BAF49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54345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DB92F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3C256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6F1C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7</w:t>
            </w:r>
          </w:p>
        </w:tc>
      </w:tr>
      <w:tr w14:paraId="2D93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6CBE1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Обеспечение инженерной инфраструктор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 xml:space="preserve">ой (строительство водопровода, газопровода   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smallCaps w:val="0"/>
                <w:color w:val="auto"/>
                <w:spacing w:val="0"/>
                <w:sz w:val="20"/>
                <w:szCs w:val="20"/>
                <w:shd w:val="clear" w:color="auto" w:fill="FAFAFA"/>
                <w:lang w:val="ru-RU" w:eastAsia="zh-CN" w:bidi="ar-SA"/>
              </w:rPr>
              <w:t>по ул. Рябиновая участок №2 в р.п. Торбеево Торбеевского муниципального района Республики Мордовия)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9C8E2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593A3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E87F2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55E69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9ABE8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26B26BA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Водопровод 863 м</w:t>
            </w:r>
          </w:p>
          <w:p w14:paraId="4930AC2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Газопровод 850 м</w:t>
            </w:r>
          </w:p>
          <w:p w14:paraId="59C22E6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6446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2024</w:t>
            </w:r>
          </w:p>
        </w:tc>
      </w:tr>
    </w:tbl>
    <w:p w14:paraId="769AA75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2430D92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9126C3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D8BFE0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54A2FBB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664F3C7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3965D2D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73F551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67F0F86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78676C3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3"/>
        <w:gridCol w:w="3017"/>
        <w:gridCol w:w="2383"/>
        <w:gridCol w:w="2367"/>
        <w:gridCol w:w="2111"/>
      </w:tblGrid>
      <w:tr w14:paraId="06CC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5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5DD2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Сметная стоимость объекта капитального строительства (стоимость приобретения объекта недвижимого имущества) с выделением объема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  <w:tc>
          <w:tcPr>
            <w:tcW w:w="3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2C26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т.ч. объем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  <w:tc>
          <w:tcPr>
            <w:tcW w:w="6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5778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Распределение сметной стоимости объекта капитального строительства (стоимость приобретения объекта недвижимого имущества) по годам с выделением объема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</w:tr>
      <w:tr w14:paraId="1BD31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9B2D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86616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FFF0B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8BAFD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F944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14:paraId="0BB4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21C45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F02E3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B2B38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728FD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28F9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</w:tr>
      <w:tr w14:paraId="0695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8AAB5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A244F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55785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97875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4CC0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14:paraId="39767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5A6E1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2539,63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C84AB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A14EE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 w:eastAsia="zh-CN" w:bidi="ar-SA"/>
              </w:rPr>
              <w:t>2539,63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8369E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0,00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B292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0,00</w:t>
            </w:r>
          </w:p>
        </w:tc>
      </w:tr>
    </w:tbl>
    <w:p w14:paraId="3D71C15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2BAB2F0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2246A9E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150314B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162DED01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2403263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3B3F0A4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6FA4821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782BEEF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3"/>
        <w:gridCol w:w="3067"/>
        <w:gridCol w:w="2333"/>
        <w:gridCol w:w="2317"/>
        <w:gridCol w:w="2161"/>
      </w:tblGrid>
      <w:tr w14:paraId="527D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5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BF7C3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Общий (предельный) объем бюджетных инвестиций с выделением  объема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9E891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 т.ч. объем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7B8E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Распределение общего (предельного) объема инвестиций по годам с выделением объема инвестиций на подготовку проектной документации, проведение инженерных изысканий, аудит, гос.экспертизу проектной документации, результатов инженерных изысканий, проверку достоверности определения сметной стоимости, если инвестиции на эти цели предоставляются, тыс.руб.</w:t>
            </w:r>
          </w:p>
        </w:tc>
      </w:tr>
      <w:tr w14:paraId="02131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B417B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C8978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91BDA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E572F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63D5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14:paraId="5477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AC8A6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044AA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AE89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00232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DF5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</w:tr>
      <w:tr w14:paraId="4239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6838A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DCD8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F7C3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D9E74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A45B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17</w:t>
            </w:r>
          </w:p>
        </w:tc>
      </w:tr>
      <w:tr w14:paraId="4C7E3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42CC3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2539,63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7440B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85E91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 w:eastAsia="zh-CN" w:bidi="ar-SA"/>
              </w:rPr>
              <w:t>2539,63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EA07A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989A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A49235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 w14:paraId="73ACC5B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</w:pPr>
    </w:p>
    <w:p w14:paraId="05014DE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="0" w:line="240" w:lineRule="auto"/>
        <w:jc w:val="right"/>
        <w:textAlignment w:val="auto"/>
      </w:pPr>
    </w:p>
    <w:p w14:paraId="42035D12">
      <w:pPr>
        <w:pStyle w:val="37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line="240" w:lineRule="auto"/>
        <w:ind w:left="4248" w:right="0" w:firstLine="0"/>
        <w:jc w:val="right"/>
        <w:textAlignment w:val="auto"/>
      </w:pPr>
      <w:bookmarkStart w:id="0" w:name="_GoBack"/>
      <w:bookmarkEnd w:id="0"/>
    </w:p>
    <w:p w14:paraId="30E0F853"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6838" w:h="11906" w:orient="landscape"/>
      <w:pgMar w:top="1701" w:right="1134" w:bottom="850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E02C">
    <w:pPr>
      <w:pStyle w:val="13"/>
      <w:tabs>
        <w:tab w:val="left" w:pos="68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50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0DBE4">
    <w:pPr>
      <w:pStyle w:val="11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1DE5E43">
    <w:pPr>
      <w:pStyle w:val="11"/>
      <w:ind w:left="0" w:righ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54F6">
    <w:pPr>
      <w:pStyle w:val="11"/>
      <w:jc w:val="right"/>
      <w:rPr>
        <w:color w:val="FFFFF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2651EEB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67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iPriority w:val="67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FR1"/>
    <w:uiPriority w:val="3"/>
    <w:pPr>
      <w:widowControl w:val="0"/>
      <w:suppressAutoHyphens/>
      <w:autoSpaceDE w:val="0"/>
      <w:bidi w:val="0"/>
      <w:spacing w:before="880" w:after="0" w:line="252" w:lineRule="auto"/>
      <w:ind w:left="720" w:right="0" w:firstLine="0"/>
      <w:jc w:val="right"/>
    </w:pPr>
    <w:rPr>
      <w:rFonts w:ascii="Arial" w:hAnsi="Arial" w:eastAsia="Times New Roman" w:cs="Arial"/>
      <w:b/>
      <w:bCs/>
      <w:color w:val="auto"/>
      <w:sz w:val="28"/>
      <w:szCs w:val="28"/>
      <w:lang w:val="ru-RU" w:eastAsia="zh-CN" w:bidi="ar-SA"/>
    </w:rPr>
  </w:style>
  <w:style w:type="paragraph" w:customStyle="1" w:styleId="37">
    <w:name w:val="Style9"/>
    <w:basedOn w:val="1"/>
    <w:uiPriority w:val="7"/>
    <w:pPr>
      <w:widowControl w:val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Font Style41"/>
    <w:qFormat/>
    <w:uiPriority w:val="6"/>
    <w:rPr>
      <w:rFonts w:ascii="Times New Roman" w:hAnsi="Times New Roman" w:cs="Times New Roman"/>
      <w:b/>
      <w:bCs/>
      <w:sz w:val="26"/>
      <w:szCs w:val="26"/>
    </w:rPr>
  </w:style>
  <w:style w:type="paragraph" w:customStyle="1" w:styleId="39">
    <w:name w:val="Style13"/>
    <w:basedOn w:val="1"/>
    <w:uiPriority w:val="7"/>
    <w:pPr>
      <w:widowControl w:val="0"/>
      <w:spacing w:before="0" w:after="0" w:line="320" w:lineRule="exact"/>
      <w:ind w:left="0" w:right="0" w:firstLine="151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Цветовое выделение"/>
    <w:qFormat/>
    <w:uiPriority w:val="67"/>
    <w:rPr>
      <w:b/>
      <w:bCs/>
      <w:color w:val="26282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2024-07-31T06:39:54Z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DC9AFDF7C32F43BD8357907ABCDF2739_13</vt:lpwstr>
  </property>
</Properties>
</file>