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38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/>
        <w:ind w:firstLine="851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АДМИНИСТРАЦИЯ ТОРБЕЕВСКОГО ГОРОДСКОГО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righ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РЕСПУБЛИКИ МОРДОВИЯ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52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>«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17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ноя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u w:val="single"/>
          <w:lang w:val="ru-RU" w:eastAsia="zh-CN" w:bidi="ar-SA"/>
        </w:rPr>
        <w:t>бря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г.</w:t>
      </w:r>
      <w:r>
        <w:rPr>
          <w:rFonts w:hint="default" w:ascii="Times New Roman" w:hAnsi="Times New Roman" w:cs="Times New Roman"/>
          <w:sz w:val="28"/>
        </w:rPr>
        <w:t xml:space="preserve">                           рп Торбеево                                   № </w:t>
      </w:r>
      <w:r>
        <w:rPr>
          <w:rFonts w:hint="default" w:ascii="Times New Roman" w:hAnsi="Times New Roman" w:cs="Times New Roman"/>
          <w:sz w:val="28"/>
          <w:lang w:val="ru-RU"/>
        </w:rPr>
        <w:t>379</w:t>
      </w:r>
    </w:p>
    <w:p>
      <w:pPr>
        <w:pStyle w:val="40"/>
        <w:spacing w:before="100" w:after="0"/>
        <w:jc w:val="center"/>
      </w:pPr>
      <w:r>
        <w:rPr>
          <w:b/>
          <w:bCs/>
          <w:sz w:val="28"/>
          <w:szCs w:val="28"/>
        </w:rPr>
        <w:t xml:space="preserve">Об основных направлениях бюджетной и налоговой политики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zh-CN" w:bidi="ar-SA"/>
        </w:rPr>
        <w:t xml:space="preserve">Торбеевского городского </w:t>
      </w:r>
      <w:r>
        <w:rPr>
          <w:b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Торбеевского муниципального района Республики Мордови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>на 202</w:t>
      </w:r>
      <w:r>
        <w:rPr>
          <w:rFonts w:hint="default"/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 xml:space="preserve"> год и плановые периоды 202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 -202</w:t>
      </w:r>
      <w:r>
        <w:rPr>
          <w:rFonts w:hint="default"/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</w:rPr>
        <w:t xml:space="preserve"> гг.</w:t>
      </w:r>
    </w:p>
    <w:p>
      <w:pPr>
        <w:pStyle w:val="2"/>
        <w:ind w:left="-142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статьями 172,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184.2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Федерации, статьей 64 Устава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2"/>
          <w:sz w:val="28"/>
          <w:szCs w:val="28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Мордовия, статьей 11 решения Совета депутатов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2"/>
          <w:sz w:val="28"/>
          <w:szCs w:val="28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 от 17 октября 2014 года №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4"/>
          <w:lang w:val="ru-RU" w:eastAsia="zh-CN" w:bidi="ar-SA"/>
        </w:rPr>
        <w:t>96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о бюджетном процессе в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2"/>
          <w:sz w:val="28"/>
          <w:szCs w:val="28"/>
          <w:lang w:val="ru-RU" w:eastAsia="zh-CN" w:bidi="ar-SA"/>
        </w:rPr>
        <w:t>Торбеевском городском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поселении Торбеевского муниципального района Республики Мордовия», администрация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2"/>
          <w:sz w:val="28"/>
          <w:szCs w:val="28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 постановляет:</w:t>
      </w:r>
    </w:p>
    <w:p>
      <w:pPr>
        <w:pStyle w:val="41"/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1"/>
        <w:bidi w:val="0"/>
        <w:ind w:firstLine="420" w:firstLineChars="1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1.Утвердить прилагаемые основные направления бюджетной и налоговой политики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2"/>
          <w:sz w:val="28"/>
          <w:szCs w:val="28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поселения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8"/>
          <w:szCs w:val="28"/>
        </w:rPr>
        <w:t xml:space="preserve">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и плановые периоды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 гг. </w:t>
      </w:r>
    </w:p>
    <w:p>
      <w:pPr>
        <w:pStyle w:val="4"/>
        <w:spacing w:beforeLines="0" w:afterLines="0" w:line="240" w:lineRule="auto"/>
        <w:ind w:firstLine="36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Настоящее постановление </w:t>
      </w:r>
      <w:r>
        <w:rPr>
          <w:rFonts w:hint="default" w:ascii="Times New Roman" w:hAnsi="Times New Roman" w:cs="Times New Roman"/>
          <w:color w:val="auto"/>
          <w:sz w:val="28"/>
          <w:szCs w:val="24"/>
          <w:lang w:bidi="ar-SA"/>
        </w:rPr>
        <w:t xml:space="preserve">вступает в силу со дня его официального опубликования в информационном бюллетене «Торбеевский вестник» и подлежит размещению на официальном сайте Торбеевского городского поселения Торбеевского муниципального района Республики Мордовия: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tbl>
      <w:tblPr>
        <w:tblStyle w:val="9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97"/>
        <w:gridCol w:w="517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4997" w:type="dxa"/>
            <w:noWrap w:val="0"/>
            <w:vAlign w:val="top"/>
          </w:tcPr>
          <w:p>
            <w:pPr>
              <w:pStyle w:val="4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zh-CN" w:bidi="ar-SA"/>
              </w:rPr>
              <w:t>И.о. г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лав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</w:t>
            </w:r>
          </w:p>
          <w:p>
            <w:pPr>
              <w:pStyle w:val="4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Торбеевского городского поселения </w:t>
            </w:r>
          </w:p>
        </w:tc>
        <w:tc>
          <w:tcPr>
            <w:tcW w:w="5170" w:type="dxa"/>
            <w:noWrap w:val="0"/>
            <w:vAlign w:val="top"/>
          </w:tcPr>
          <w:p>
            <w:pPr>
              <w:pStyle w:val="42"/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pStyle w:val="42"/>
              <w:wordWrap w:val="0"/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С.Г. Демкина</w:t>
            </w:r>
          </w:p>
        </w:tc>
      </w:tr>
    </w:tbl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</w:rPr>
      </w:pPr>
      <w:bookmarkStart w:id="0" w:name="Par24"/>
      <w:bookmarkEnd w:id="0"/>
      <w:r>
        <w:rPr>
          <w:rFonts w:hint="default" w:ascii="Times New Roman" w:hAnsi="Times New Roman" w:cs="Times New Roman"/>
          <w:szCs w:val="28"/>
        </w:rPr>
        <w:t xml:space="preserve"> Приложение 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8"/>
        </w:rPr>
        <w:t xml:space="preserve">            к Постановлению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2" w:lineRule="auto"/>
        <w:ind w:left="0" w:right="0" w:firstLine="72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Торбеевского городского поселения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8"/>
        </w:rPr>
        <w:t>Торбеевского муниципального района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8"/>
        </w:rPr>
        <w:t>Республики Мордовия</w:t>
      </w:r>
    </w:p>
    <w:p>
      <w:pPr>
        <w:pStyle w:val="4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8"/>
        </w:rPr>
        <w:t>от «</w:t>
      </w:r>
      <w:r>
        <w:rPr>
          <w:rFonts w:hint="default" w:ascii="Times New Roman" w:hAnsi="Times New Roman" w:cs="Times New Roman"/>
          <w:szCs w:val="28"/>
          <w:lang w:val="ru-RU"/>
        </w:rPr>
        <w:t>17</w:t>
      </w:r>
      <w:r>
        <w:rPr>
          <w:rFonts w:hint="default" w:ascii="Times New Roman" w:hAnsi="Times New Roman" w:cs="Times New Roman"/>
          <w:szCs w:val="28"/>
        </w:rPr>
        <w:t xml:space="preserve">»  </w:t>
      </w:r>
      <w:r>
        <w:rPr>
          <w:rFonts w:hint="default" w:ascii="Times New Roman" w:hAnsi="Times New Roman" w:cs="Times New Roman"/>
          <w:szCs w:val="28"/>
          <w:lang w:val="ru-RU"/>
        </w:rPr>
        <w:t xml:space="preserve">ноября </w:t>
      </w:r>
      <w:r>
        <w:rPr>
          <w:rFonts w:hint="default" w:ascii="Times New Roman" w:hAnsi="Times New Roman" w:cs="Times New Roman"/>
          <w:szCs w:val="28"/>
        </w:rPr>
        <w:t xml:space="preserve"> 202</w:t>
      </w:r>
      <w:r>
        <w:rPr>
          <w:rFonts w:hint="default" w:ascii="Times New Roman" w:hAnsi="Times New Roman" w:cs="Times New Roman"/>
          <w:szCs w:val="28"/>
          <w:lang w:val="ru-RU"/>
        </w:rPr>
        <w:t>3</w:t>
      </w:r>
      <w:r>
        <w:rPr>
          <w:rFonts w:hint="default" w:ascii="Times New Roman" w:hAnsi="Times New Roman" w:cs="Times New Roman"/>
          <w:szCs w:val="28"/>
        </w:rPr>
        <w:t xml:space="preserve"> года № </w:t>
      </w:r>
      <w:r>
        <w:rPr>
          <w:rFonts w:hint="default" w:ascii="Times New Roman" w:hAnsi="Times New Roman" w:cs="Times New Roman"/>
          <w:szCs w:val="28"/>
          <w:lang w:val="ru-RU"/>
        </w:rPr>
        <w:t>379</w:t>
      </w:r>
    </w:p>
    <w:p>
      <w:pPr>
        <w:pStyle w:val="33"/>
        <w:bidi w:val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shd w:val="clear" w:color="auto" w:fill="FFFFFF"/>
        <w:spacing w:before="0" w:after="0" w:line="320" w:lineRule="atLeast"/>
        <w:ind w:left="0" w:right="0" w:firstLine="70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 w:val="0"/>
        </w:rPr>
        <w:t xml:space="preserve">Основные направления бюджетной и налоговой политики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2"/>
          <w:sz w:val="28"/>
          <w:szCs w:val="28"/>
          <w:lang w:val="ru-RU" w:eastAsia="zh-CN" w:bidi="ar-SA"/>
        </w:rPr>
        <w:t>Торбеевского городского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Cs w:val="0"/>
        </w:rPr>
        <w:t xml:space="preserve"> на 202</w:t>
      </w:r>
      <w:r>
        <w:rPr>
          <w:rFonts w:hint="default" w:ascii="Times New Roman" w:hAnsi="Times New Roman" w:cs="Times New Roman"/>
          <w:bCs w:val="0"/>
          <w:lang w:val="ru-RU"/>
        </w:rPr>
        <w:t>4</w:t>
      </w:r>
      <w:r>
        <w:rPr>
          <w:rFonts w:hint="default" w:ascii="Times New Roman" w:hAnsi="Times New Roman" w:cs="Times New Roman"/>
          <w:bCs w:val="0"/>
        </w:rPr>
        <w:t xml:space="preserve"> год и на плановый период  202</w:t>
      </w:r>
      <w:r>
        <w:rPr>
          <w:rFonts w:hint="default" w:ascii="Times New Roman" w:hAnsi="Times New Roman" w:cs="Times New Roman"/>
          <w:bCs w:val="0"/>
          <w:lang w:val="ru-RU"/>
        </w:rPr>
        <w:t>5</w:t>
      </w:r>
      <w:r>
        <w:rPr>
          <w:rFonts w:hint="default" w:ascii="Times New Roman" w:hAnsi="Times New Roman" w:cs="Times New Roman"/>
          <w:bCs w:val="0"/>
        </w:rPr>
        <w:t>-202</w:t>
      </w:r>
      <w:r>
        <w:rPr>
          <w:rFonts w:hint="default" w:ascii="Times New Roman" w:hAnsi="Times New Roman" w:cs="Times New Roman"/>
          <w:bCs w:val="0"/>
          <w:lang w:val="ru-RU"/>
        </w:rPr>
        <w:t>6</w:t>
      </w:r>
      <w:r>
        <w:rPr>
          <w:rFonts w:hint="default" w:ascii="Times New Roman" w:hAnsi="Times New Roman" w:cs="Times New Roman"/>
          <w:bCs w:val="0"/>
        </w:rPr>
        <w:t xml:space="preserve"> годов</w:t>
      </w:r>
    </w:p>
    <w:p>
      <w:pPr>
        <w:pStyle w:val="40"/>
        <w:shd w:val="clear" w:color="auto" w:fill="FFFFFF"/>
        <w:spacing w:before="0" w:after="0"/>
        <w:ind w:left="0" w:right="0"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 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 xml:space="preserve">Настоящие Основные направления бюджетной и налоговой политики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sz w:val="28"/>
          <w:szCs w:val="28"/>
        </w:rPr>
        <w:t xml:space="preserve"> поселения Торбеевского муниципального района Республики Мордовия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 разработаны в соответствии со статьями 172, 184.2 </w:t>
      </w:r>
      <w:r>
        <w:fldChar w:fldCharType="begin"/>
      </w:r>
      <w:r>
        <w:instrText xml:space="preserve"> HYPERLINK "http://rnla-service.scli.ru:8080/rnla-links/ws/content/act/8f21b21c-a408-42c4-b9fe-a939b863c84a.html"</w:instrText>
      </w:r>
      <w:r>
        <w:fldChar w:fldCharType="separate"/>
      </w:r>
      <w:r>
        <w:rPr>
          <w:rStyle w:val="10"/>
          <w:color w:val="auto"/>
          <w:sz w:val="28"/>
          <w:szCs w:val="28"/>
          <w:u w:val="none"/>
        </w:rPr>
        <w:t>Бюджетного кодекса</w:t>
      </w:r>
      <w:r>
        <w:fldChar w:fldCharType="end"/>
      </w:r>
      <w:r>
        <w:rPr>
          <w:sz w:val="28"/>
          <w:szCs w:val="28"/>
        </w:rPr>
        <w:t> Российской Федерации, Положением о бюджетном процессе в</w:t>
      </w:r>
      <w:r>
        <w:rPr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Торбеевском городском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Мордовия,</w:t>
      </w:r>
      <w:r>
        <w:rPr>
          <w:sz w:val="28"/>
          <w:szCs w:val="28"/>
        </w:rPr>
        <w:t xml:space="preserve"> утвержденном решением Совета депутатов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 октября 2014 года №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4"/>
          <w:lang w:val="ru-RU" w:eastAsia="zh-CN" w:bidi="ar-SA"/>
        </w:rPr>
        <w:t>96</w:t>
      </w:r>
      <w:r>
        <w:rPr>
          <w:bCs/>
          <w:sz w:val="28"/>
          <w:szCs w:val="28"/>
        </w:rPr>
        <w:t xml:space="preserve"> «Об утверждении Положения о бюджетном процессе в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Торбеевском городском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bCs/>
          <w:sz w:val="28"/>
          <w:szCs w:val="28"/>
        </w:rPr>
        <w:t>».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 xml:space="preserve">Целью Основных направлений бюджетной и налоговой политики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 является определение на ближайший трехлетний период базовых принципов, условий и подходов, используемых при формировании проекта бюджета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 </w:t>
      </w:r>
      <w:r>
        <w:rPr>
          <w:sz w:val="28"/>
          <w:szCs w:val="28"/>
        </w:rPr>
        <w:t>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годов.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 xml:space="preserve">Основными целями бюджетной и налоговой политики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 по-прежнему являются обеспечение социальной и экономической стабильности, сбалансированности и устойчивости бюджета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>, повышение эффективности и результативности бюджетных расходов, стимулирование развития налогового потенциала, повышение открытости, эффективности и прозрачности муниципального управления.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В связи с введением в 2022 году политических и экономических санкций иностранными государствами, совершающими недружественные действия в отношении Российской Федерации, граждан  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  основными приоритетами бюджетной политики остаются: 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 xml:space="preserve">1) обеспечение долгосрочной сбалансированности и финансовой устойчивости бюджетной системы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 при безусловном исполнении всех принятых на себя обязательств, в сложившихся экономических условиях;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2) сосредоточение финансовых ресурсов на достижении целей, показателей и результатов федеральных и региональных проектов;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3) повышение эффективности использования бюджетных средств путем принятия мер, направленных на: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непринятие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привлечение средств из бюджетов других уровней бюджетной системы Российской Федерации путем участия в федеральных и республиканских проектах и программах на условиях софинансирования;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 обеспечение равномерного исполнения расходных обязательств в течение финансового года;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усиление контроля за целевым использованием бюджетных средств;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 xml:space="preserve">совершенствование системы закупок товаров, работ, услуг для обеспечения муниципальных нужд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>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 xml:space="preserve">4) проведение работы по эффективному управлению муниципальным долгом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>.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Бюджетная и налоговая политика на 202</w:t>
      </w:r>
      <w:r>
        <w:rPr>
          <w:rFonts w:hint="default"/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-202</w:t>
      </w:r>
      <w:r>
        <w:rPr>
          <w:rFonts w:hint="default"/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годов  в области доходов бюджета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 будет направлена на укрепление и развитие налогового потенциала за счет роста  собственных доходных источников.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 xml:space="preserve">Обеспечение полноты собираемости налогов остается важнейшей задачей в сложившихся экономических условиях. В этих целях будет продолжена работа по повышению эффективности управления муниципальными земельными ресурсами и муниципальным имуществом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, повышению качества администрирования главными администраторами доходов бюджета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, осуществлению учета и усиление контроля за своевременностью и полнотой перечисления в бюджет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 штрафных санкций за административные правонарушения, выявленные должностными лицами органов муниципального контроля.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 xml:space="preserve">В целях обеспечения своевременного исполнения доходной части бюджета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 в сложившихся экономических условиях будет продолжена: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 xml:space="preserve">- работа по обеспечению поступлений налоговых и неналоговых доходов, подлежащих зачислению в бюджет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>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- работа по проведению оценки эффективности налоговых расходов.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Бюджетная и налоговая политика на 202</w:t>
      </w:r>
      <w:r>
        <w:rPr>
          <w:rFonts w:hint="default"/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en-US"/>
        </w:rPr>
        <w:t>5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годов в области расходов бюджета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 направлена на сохранение социально ориентированной направленности  бюджета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, усиления его роли в стимулировании роста экономики, повышения качества жизни населения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>.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В целях реализации постановленных задач необходимо реализовать  комплекс мероприятий, направленных на: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1) повышение эффективности реализации муниципальных программ;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2) повышение результативности использования бюджетных средств за счет обеспечения контроля за достижением показателей результативности при реализации муниципальных программ;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 xml:space="preserve">3) повышение эффективности внутреннего муниципального финансового контроля, направленного на соблюдение процедур составления и исполнения бюджета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, составления бюджетной отчетности и ведения бюджетного учета главными распорядителями средств бюджета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>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4) недопущение кредиторской задолженности по заработной плате и социальным выплатам;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5) направление бюджетных средств в приоритетном порядке на погашение кредиторской задолженности;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 xml:space="preserve">6) повышение информационной открытости бюджетного процесса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, в том числе в социальных сетях, формирование электронной брошюры «Бюджет для граждан» в целях повышения информированности граждан в вопросах формирования и исполнения бюджета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>, а также вовлечения граждан в процедуру обсуждения и принятия конкретных бюджетных решений;</w:t>
      </w:r>
    </w:p>
    <w:p>
      <w:pPr>
        <w:pStyle w:val="40"/>
        <w:shd w:val="clear" w:color="auto" w:fill="FFFFFF"/>
        <w:spacing w:before="0" w:after="0" w:line="360" w:lineRule="atLeast"/>
        <w:jc w:val="both"/>
      </w:pPr>
      <w:r>
        <w:rPr>
          <w:sz w:val="28"/>
          <w:szCs w:val="28"/>
        </w:rPr>
        <w:t xml:space="preserve">     7) неувеличение штатной численности работников органов местного самоуправления;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 xml:space="preserve">8) проведение публичных слушаний по проектам бюджета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 на очередной финансовый год и плановый период и годового отчета об исполнении бюджета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 w:eastAsia="zh-CN" w:bidi="ar-SA"/>
        </w:rPr>
        <w:t>Торбеевского городского</w:t>
      </w:r>
      <w:r>
        <w:rPr>
          <w:b w:val="0"/>
          <w:bCs w:val="0"/>
          <w:sz w:val="28"/>
          <w:szCs w:val="28"/>
        </w:rPr>
        <w:t xml:space="preserve"> поселения Торбеевского муниципального района Республики Мордовия</w:t>
      </w:r>
      <w:r>
        <w:rPr>
          <w:sz w:val="28"/>
          <w:szCs w:val="28"/>
        </w:rPr>
        <w:t>.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Реализация бюджетной и налоговой политики на 202</w:t>
      </w:r>
      <w:r>
        <w:rPr>
          <w:rFonts w:hint="default"/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 и на плановый период 202</w:t>
      </w:r>
      <w:r>
        <w:rPr>
          <w:rFonts w:hint="default"/>
          <w:sz w:val="28"/>
          <w:szCs w:val="28"/>
          <w:lang w:val="en-US"/>
        </w:rPr>
        <w:t>5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годов в области управления муниципальным долгом будет осуществляться в рамках решения следующих задач: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1) поддержание объема муниципального долга в соответствии с пунктом 5 статьи 107 </w:t>
      </w:r>
      <w:r>
        <w:fldChar w:fldCharType="begin"/>
      </w:r>
      <w:r>
        <w:instrText xml:space="preserve"> HYPERLINK "http://rnla-service.scli.ru:8080/rnla-links/ws/content/act/8f21b21c-a408-42c4-b9fe-a939b863c84a.html"</w:instrText>
      </w:r>
      <w:r>
        <w:fldChar w:fldCharType="separate"/>
      </w:r>
      <w:r>
        <w:rPr>
          <w:rStyle w:val="10"/>
          <w:color w:val="auto"/>
          <w:sz w:val="28"/>
          <w:szCs w:val="28"/>
          <w:u w:val="none"/>
        </w:rPr>
        <w:t>Бюджетного кодекса</w:t>
      </w:r>
      <w:r>
        <w:fldChar w:fldCharType="end"/>
      </w:r>
      <w:r>
        <w:rPr>
          <w:sz w:val="28"/>
          <w:szCs w:val="28"/>
        </w:rPr>
        <w:t> РФ при соблюдении условий, установленных Федеральным законом от 09.04.2009 г. № 58-ФЗ «</w:t>
      </w:r>
      <w:r>
        <w:fldChar w:fldCharType="begin"/>
      </w:r>
      <w:r>
        <w:instrText xml:space="preserve"> HYPERLINK "http://rnla-service.scli.ru:8080/rnla-links/ws/content/act/b8f6f05f-bd58-435d-b6b6-24ac4bb285c7.html"</w:instrText>
      </w:r>
      <w:r>
        <w:fldChar w:fldCharType="separate"/>
      </w:r>
      <w:r>
        <w:rPr>
          <w:rStyle w:val="10"/>
          <w:color w:val="auto"/>
          <w:sz w:val="28"/>
          <w:szCs w:val="28"/>
          <w:u w:val="none"/>
        </w:rPr>
        <w:t>О внесении изменений в Бюджетный кодекс РФ и отдельные законодательные акты РФ</w:t>
      </w:r>
      <w:r>
        <w:fldChar w:fldCharType="end"/>
      </w:r>
      <w:r>
        <w:rPr>
          <w:sz w:val="28"/>
          <w:szCs w:val="28"/>
        </w:rPr>
        <w:t>»;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2) оптимизация структуры муниципального долга с целью минимизации стоимости его обслуживания;</w:t>
      </w:r>
    </w:p>
    <w:p>
      <w:pPr>
        <w:pStyle w:val="40"/>
        <w:shd w:val="clear" w:color="auto" w:fill="FFFFFF"/>
        <w:spacing w:before="0" w:after="0" w:line="360" w:lineRule="atLeast"/>
        <w:ind w:left="0" w:right="0" w:firstLine="709"/>
        <w:jc w:val="both"/>
      </w:pPr>
      <w:r>
        <w:rPr>
          <w:sz w:val="28"/>
          <w:szCs w:val="28"/>
        </w:rPr>
        <w:t>3) обеспечение отсутствия просроченной задолженности.</w:t>
      </w:r>
    </w:p>
    <w:p>
      <w:pPr>
        <w:pStyle w:val="2"/>
        <w:bidi w:val="0"/>
        <w:spacing w:before="240" w:after="60"/>
        <w:jc w:val="center"/>
        <w:rPr>
          <w:b/>
          <w:sz w:val="28"/>
          <w:szCs w:val="28"/>
        </w:rPr>
      </w:pPr>
      <w:bookmarkStart w:id="1" w:name="_GoBack"/>
      <w:bookmarkEnd w:id="1"/>
    </w:p>
    <w:p>
      <w:pPr>
        <w:pStyle w:val="17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9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21A46B06"/>
    <w:rsid w:val="2E0827CE"/>
    <w:rsid w:val="310A3BD1"/>
    <w:rsid w:val="3333258B"/>
    <w:rsid w:val="3F121267"/>
    <w:rsid w:val="3F2269FC"/>
    <w:rsid w:val="41FB00C8"/>
    <w:rsid w:val="5A7102AA"/>
    <w:rsid w:val="666C2B42"/>
    <w:rsid w:val="69E33BAB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67" w:semiHidden="0" w:name="heading 1"/>
    <w:lsdException w:qFormat="1" w:unhideWhenUsed="0" w:uiPriority="0" w:semiHidden="0" w:name="heading 2"/>
    <w:lsdException w:qFormat="1" w:uiPriority="9" w:name="heading 3"/>
    <w:lsdException w:unhideWhenUsed="0" w:uiPriority="67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68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67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uiPriority w:val="67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2"/>
    <w:basedOn w:val="1"/>
    <w:next w:val="4"/>
    <w:link w:val="18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uiPriority w:val="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semiHidden/>
    <w:unhideWhenUsed/>
    <w:qFormat/>
    <w:uiPriority w:val="99"/>
    <w:pPr>
      <w:spacing w:after="120"/>
    </w:p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page number"/>
    <w:basedOn w:val="12"/>
    <w:qFormat/>
    <w:uiPriority w:val="67"/>
  </w:style>
  <w:style w:type="character" w:customStyle="1" w:styleId="12">
    <w:name w:val="Основной шрифт абзаца1"/>
    <w:uiPriority w:val="67"/>
  </w:style>
  <w:style w:type="character" w:styleId="13">
    <w:name w:val="Strong"/>
    <w:qFormat/>
    <w:uiPriority w:val="0"/>
    <w:rPr>
      <w:b/>
      <w:bCs/>
    </w:rPr>
  </w:style>
  <w:style w:type="paragraph" w:styleId="14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header"/>
    <w:basedOn w:val="1"/>
    <w:qFormat/>
    <w:uiPriority w:val="68"/>
  </w:style>
  <w:style w:type="paragraph" w:styleId="16">
    <w:name w:val="Body Text Indent"/>
    <w:basedOn w:val="1"/>
    <w:link w:val="23"/>
    <w:semiHidden/>
    <w:unhideWhenUsed/>
    <w:qFormat/>
    <w:uiPriority w:val="99"/>
    <w:pPr>
      <w:spacing w:after="120"/>
      <w:ind w:left="283"/>
    </w:pPr>
  </w:style>
  <w:style w:type="paragraph" w:styleId="1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Заголовок 2 Знак"/>
    <w:basedOn w:val="8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9">
    <w:name w:val="Основной текст Знак"/>
    <w:basedOn w:val="8"/>
    <w:link w:val="4"/>
    <w:semiHidden/>
    <w:qFormat/>
    <w:uiPriority w:val="99"/>
    <w:rPr>
      <w:rFonts w:eastAsiaTheme="minorEastAsia"/>
      <w:lang w:eastAsia="ru-RU"/>
    </w:rPr>
  </w:style>
  <w:style w:type="character" w:customStyle="1" w:styleId="20">
    <w:name w:val="Текст выноски Знак"/>
    <w:basedOn w:val="8"/>
    <w:link w:val="14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1">
    <w:name w:val="Заголовок 3 Знак"/>
    <w:basedOn w:val="8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2">
    <w:name w:val="Заголовок 5 Знак"/>
    <w:basedOn w:val="8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3">
    <w:name w:val="Основной текст с отступом Знак"/>
    <w:basedOn w:val="8"/>
    <w:link w:val="16"/>
    <w:semiHidden/>
    <w:qFormat/>
    <w:uiPriority w:val="99"/>
    <w:rPr>
      <w:rFonts w:eastAsiaTheme="minorEastAsia"/>
      <w:lang w:eastAsia="ru-RU"/>
    </w:rPr>
  </w:style>
  <w:style w:type="paragraph" w:customStyle="1" w:styleId="24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7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apple-converted-space"/>
    <w:basedOn w:val="8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1">
    <w:name w:val="Гипертекстовая ссылка"/>
    <w:basedOn w:val="8"/>
    <w:qFormat/>
    <w:uiPriority w:val="99"/>
    <w:rPr>
      <w:color w:val="106BBE"/>
    </w:rPr>
  </w:style>
  <w:style w:type="paragraph" w:customStyle="1" w:styleId="32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">
    <w:name w:val="ConsPlusNormal"/>
    <w:link w:val="34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4">
    <w:name w:val="ConsPlusNormal Знак"/>
    <w:link w:val="33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5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7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8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9">
    <w:name w:val="FR1"/>
    <w:uiPriority w:val="3"/>
    <w:pPr>
      <w:widowControl w:val="0"/>
      <w:suppressAutoHyphens/>
      <w:bidi w:val="0"/>
      <w:spacing w:line="420" w:lineRule="auto"/>
      <w:ind w:left="2000" w:right="0" w:firstLine="0"/>
      <w:jc w:val="center"/>
    </w:pPr>
    <w:rPr>
      <w:rFonts w:ascii="Times New Roman" w:hAnsi="Times New Roman" w:eastAsia="Times New Roman" w:cs="Times New Roman"/>
      <w:b/>
      <w:color w:val="auto"/>
      <w:sz w:val="32"/>
      <w:szCs w:val="20"/>
      <w:lang w:val="ru-RU" w:eastAsia="zh-CN" w:bidi="ar-SA"/>
    </w:rPr>
  </w:style>
  <w:style w:type="paragraph" w:customStyle="1" w:styleId="40">
    <w:name w:val="Обычный (веб)1"/>
    <w:basedOn w:val="1"/>
    <w:qFormat/>
    <w:uiPriority w:val="68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"/>
    <w:qFormat/>
    <w:uiPriority w:val="67"/>
    <w:pPr>
      <w:widowControl/>
      <w:suppressAutoHyphens/>
      <w:bidi w:val="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customStyle="1" w:styleId="42">
    <w:name w:val="Содержимое таблицы"/>
    <w:basedOn w:val="1"/>
    <w:uiPriority w:val="67"/>
    <w:pPr>
      <w:suppressLineNumbers/>
      <w:suppressAutoHyphens/>
    </w:pPr>
    <w:rPr>
      <w:sz w:val="20"/>
      <w:szCs w:val="20"/>
    </w:rPr>
  </w:style>
  <w:style w:type="paragraph" w:customStyle="1" w:styleId="43">
    <w:name w:val="Основной текст с отступом 21"/>
    <w:basedOn w:val="1"/>
    <w:qFormat/>
    <w:uiPriority w:val="67"/>
    <w:pPr>
      <w:suppressAutoHyphens/>
      <w:ind w:left="0" w:right="0" w:firstLine="851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2023-11-22T09:56:10Z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708A8FE820604C08A8CFB6B7F7550037_13</vt:lpwstr>
  </property>
</Properties>
</file>