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27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40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ПОСЕЛЕНИЯ ТОРБЕЕВСКОГО МУНИЦИПАЛЬНОГО РАЙОНА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>рп Торбеево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hint="default"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ноября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23 г.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388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основных направлениях долговой политики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поселения Торбеевского муниципального района Республики Мордовия на 202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годов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пунктом 13 статьи 107.1 Бюджетного кодекса Российской Федерации и в целях эффективного управления муниципальным долгом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поселения Торбеевского муниципального района Республики Мордовия и принятия мер по снижению долговой нагрузки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поселения Торбеевского муниципального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Республики Мордовия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постановляет: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1.Утвердить прилагаемые основные направления долговой политики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поселения Торбеевского муниципального района Республики Мордовия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годов.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2. Настоящее постановление 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 вступает в силу со дня его официального опубликования в информационном бюллетене «Торбеевский вестник» и подлежит размещению на официальном сайте Торбеевского городского поселения Торбеевского муниципального района Республики Мордовия: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shd w:val="clear" w:color="auto" w:fill="auto"/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567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284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 w:bidi="ar-SA"/>
        </w:rPr>
        <w:t>И.о. г</w:t>
      </w:r>
      <w:r>
        <w:rPr>
          <w:rFonts w:hint="default" w:ascii="Times New Roman" w:hAnsi="Times New Roman" w:cs="Times New Roman"/>
          <w:sz w:val="28"/>
          <w:szCs w:val="28"/>
        </w:rPr>
        <w:t>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администрации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284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поселения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 w:bidi="ar-SA"/>
        </w:rPr>
        <w:t>С.Г. Демкина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284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143" w:firstLine="0"/>
        <w:contextualSpacing/>
        <w:jc w:val="right"/>
        <w:textAlignment w:val="auto"/>
        <w:rPr>
          <w:rFonts w:hint="default" w:ascii="Times New Roman" w:hAnsi="Times New Roman" w:cs="Times New Roman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143" w:firstLine="0"/>
        <w:contextualSpacing/>
        <w:jc w:val="right"/>
        <w:textAlignment w:val="auto"/>
        <w:rPr>
          <w:rFonts w:hint="default" w:ascii="Times New Roman" w:hAnsi="Times New Roman" w:cs="Times New Roman"/>
          <w:lang w:val="ru-RU"/>
        </w:rPr>
      </w:pPr>
      <w:bookmarkStart w:id="2" w:name="_GoBack"/>
      <w:bookmarkEnd w:id="2"/>
      <w:r>
        <w:rPr>
          <w:rFonts w:hint="default" w:ascii="Times New Roman" w:hAnsi="Times New Roman" w:cs="Times New Roman"/>
          <w:lang w:val="ru-RU"/>
        </w:rPr>
        <w:t>Приложение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143" w:firstLine="698"/>
        <w:contextualSpacing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К 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Постановлени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ю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администрации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143" w:firstLine="698"/>
        <w:contextualSpacing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ru-RU" w:eastAsia="zh-CN" w:bidi="ar-SA"/>
        </w:rPr>
        <w:t xml:space="preserve">Торбеевского городского 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143" w:firstLine="698"/>
        <w:contextualSpacing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143" w:firstLine="698"/>
        <w:contextualSpacing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Республики Мордовия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-143" w:firstLine="698"/>
        <w:contextualSpacing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от  «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27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»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ноября 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202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3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г. №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388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</w:rPr>
        <w:t xml:space="preserve">Основные направления долговой политики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540"/>
        <w:contextualSpacing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/>
          <w:bCs/>
          <w:sz w:val="27"/>
          <w:szCs w:val="27"/>
        </w:rPr>
        <w:t xml:space="preserve"> поселен</w:t>
      </w:r>
      <w:r>
        <w:rPr>
          <w:rFonts w:hint="default" w:ascii="Times New Roman" w:hAnsi="Times New Roman" w:cs="Times New Roman"/>
          <w:b/>
          <w:sz w:val="27"/>
          <w:szCs w:val="27"/>
        </w:rPr>
        <w:t>ия Торбеевского  муниципального района на 202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год и на плановый период 202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>5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и 202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годов</w:t>
      </w:r>
      <w:bookmarkStart w:id="0" w:name="Par24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540"/>
        <w:contextualSpacing/>
        <w:jc w:val="center"/>
        <w:textAlignment w:val="auto"/>
        <w:rPr>
          <w:rFonts w:hint="default" w:ascii="Times New Roman" w:hAnsi="Times New Roman" w:cs="Times New Roman"/>
          <w:b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Основные направления долговой политики на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sz w:val="27"/>
          <w:szCs w:val="27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5</w:t>
      </w:r>
      <w:r>
        <w:rPr>
          <w:rFonts w:hint="default" w:ascii="Times New Roman" w:hAnsi="Times New Roman" w:cs="Times New Roman"/>
          <w:sz w:val="27"/>
          <w:szCs w:val="27"/>
        </w:rPr>
        <w:t xml:space="preserve"> и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sz w:val="27"/>
          <w:szCs w:val="27"/>
        </w:rPr>
        <w:t xml:space="preserve"> годов определяют приоритеты долговой политики при составлении проекта бюджета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7"/>
          <w:szCs w:val="27"/>
        </w:rPr>
        <w:t xml:space="preserve"> поселения Торбеевского муниципального района Республики Мордовия на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sz w:val="27"/>
          <w:szCs w:val="27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5</w:t>
      </w:r>
      <w:r>
        <w:rPr>
          <w:rFonts w:hint="default" w:ascii="Times New Roman" w:hAnsi="Times New Roman" w:cs="Times New Roman"/>
          <w:sz w:val="27"/>
          <w:szCs w:val="27"/>
        </w:rPr>
        <w:t xml:space="preserve"> и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sz w:val="27"/>
          <w:szCs w:val="27"/>
        </w:rPr>
        <w:t xml:space="preserve"> годов.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При подготовке основных направлений долговой политики были учтены положения муниципальной программы повышения эффективности управления муниципальными финансами в Торбеевском муниципальном районе на 2016-2025 годы, соглашение 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о реструктуризации задолженности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 поселения Торбеевского муниципального района Республики Мордовия по бюджетным кредитам, предоставленным из бюджета Торбеевского муниципального района  Республики Мордовия.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textAlignment w:val="auto"/>
        <w:rPr>
          <w:rFonts w:hint="default" w:ascii="Times New Roman" w:hAnsi="Times New Roman" w:cs="Times New Roman"/>
          <w:bCs/>
          <w:color w:val="000000"/>
          <w:sz w:val="27"/>
          <w:szCs w:val="27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contextualSpacing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 xml:space="preserve">Итоги реализации долговой политики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7"/>
          <w:szCs w:val="27"/>
        </w:rPr>
        <w:t xml:space="preserve">поселения Торбеевского </w:t>
      </w:r>
      <w:r>
        <w:rPr>
          <w:rFonts w:hint="default" w:ascii="Times New Roman" w:hAnsi="Times New Roman" w:cs="Times New Roman"/>
          <w:color w:val="000000"/>
          <w:sz w:val="27"/>
          <w:szCs w:val="27"/>
        </w:rPr>
        <w:t>муниципального района Республики Мордовия и текущее состояние муниципального долга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 w:cs="Times New Roman"/>
          <w:color w:val="000000"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По результатам исполнения бюджета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7"/>
          <w:szCs w:val="27"/>
        </w:rPr>
        <w:t xml:space="preserve"> поселения Торбеевского муниципального района (далее - бюджет поселения) за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2</w:t>
      </w:r>
      <w:r>
        <w:rPr>
          <w:rFonts w:hint="default" w:ascii="Times New Roman" w:hAnsi="Times New Roman" w:cs="Times New Roman"/>
          <w:sz w:val="27"/>
          <w:szCs w:val="27"/>
        </w:rPr>
        <w:t xml:space="preserve"> год можно констатировать сохранение тенденции, не способствующей достижению сбалансированности бюджета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Структуру муниципального долга по состоянию на 1 января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3</w:t>
      </w:r>
      <w:r>
        <w:rPr>
          <w:rFonts w:hint="default" w:ascii="Times New Roman" w:hAnsi="Times New Roman" w:cs="Times New Roman"/>
          <w:sz w:val="27"/>
          <w:szCs w:val="27"/>
        </w:rPr>
        <w:t xml:space="preserve"> года полностью составляют бюджетные кредиты, полученные из бюджета Торбеевского муниципального района 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textAlignment w:val="auto"/>
        <w:rPr>
          <w:rFonts w:hint="default" w:ascii="Times New Roman" w:hAnsi="Times New Roman" w:cs="Times New Roman"/>
          <w:b/>
          <w:sz w:val="27"/>
          <w:szCs w:val="27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contextualSpacing/>
        <w:textAlignment w:val="auto"/>
        <w:rPr>
          <w:rFonts w:hint="default" w:ascii="Times New Roman" w:hAnsi="Times New Roman" w:cs="Times New Roman"/>
        </w:rPr>
      </w:pPr>
      <w:bookmarkStart w:id="1" w:name="sub_1002"/>
      <w:r>
        <w:rPr>
          <w:rFonts w:hint="default" w:ascii="Times New Roman" w:hAnsi="Times New Roman" w:cs="Times New Roman"/>
          <w:color w:val="auto"/>
          <w:sz w:val="27"/>
          <w:szCs w:val="27"/>
        </w:rPr>
        <w:t xml:space="preserve">Основные факторы, определяющие характер и направления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contextualSpacing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sz w:val="27"/>
          <w:szCs w:val="27"/>
        </w:rPr>
        <w:t xml:space="preserve">долговой политики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7"/>
          <w:szCs w:val="27"/>
        </w:rPr>
        <w:t xml:space="preserve">поселения Торбеевского </w:t>
      </w:r>
      <w:r>
        <w:rPr>
          <w:rFonts w:hint="default" w:ascii="Times New Roman" w:hAnsi="Times New Roman" w:cs="Times New Roman"/>
          <w:color w:val="auto"/>
          <w:sz w:val="27"/>
          <w:szCs w:val="27"/>
        </w:rPr>
        <w:t xml:space="preserve"> муниципального района Республики Мордовия на 202</w:t>
      </w:r>
      <w:r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7"/>
          <w:szCs w:val="27"/>
        </w:rPr>
        <w:t>-202</w:t>
      </w:r>
      <w:r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7"/>
          <w:szCs w:val="27"/>
        </w:rPr>
        <w:t xml:space="preserve"> годы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8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Изменения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"http://internet.garant.ru/document?id=10800200&amp;sub=0"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auto"/>
          <w:sz w:val="27"/>
          <w:szCs w:val="27"/>
          <w:u w:val="none"/>
        </w:rPr>
        <w:t>налоговом и бюджетном законодательстве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sz w:val="27"/>
          <w:szCs w:val="27"/>
          <w:u w:val="none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предопределяют основные условия реализация политики в области управления муниципальным долгом в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sz w:val="27"/>
          <w:szCs w:val="27"/>
        </w:rPr>
        <w:t> - 202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sz w:val="27"/>
          <w:szCs w:val="27"/>
        </w:rPr>
        <w:t> годах.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8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Дополнительные факторы, которые подлежат учету при реализации долговой политики в указанный период: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8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необходимость соблюдения параметров объема дефицита бюджета и муниципального долга, уточненных в Соглашении 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о реструктуризации задолженности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 поселения Торбеевского муниципального района Республики Мордовия по бюджетным кредитам, предоставленным из бюджета Торбеевского муниципального района Республики Мордовия;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необходимость выполнения положений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"consultantplus://offline/ref=D0FC4C04F011009EB9C4B9E6EE79A05BEFE693236C51F7D75577006B5B4CC4669D13F60CB32A165D5AD7B1207BlBg1N"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7"/>
          <w:szCs w:val="27"/>
        </w:rPr>
        <w:t>Указа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sz w:val="27"/>
          <w:szCs w:val="27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Указа Президента Российской Федерации от 21 июля 2020 года №474 «О национальных целях развития Российской Федерации на период до 2030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 w:right="0" w:firstLine="851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Также необходимо учитывать влияние рисков дальнейшего ухудшения экономической ситуации, в том числе вследствие распространения короновирусной инфекции, что может привести к ухудшению динамики основных макроэкономических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муниципальных заимствований в нужных объемах и на приемлемых условиях.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contextualSpacing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sz w:val="27"/>
          <w:szCs w:val="27"/>
        </w:rPr>
        <w:t>Цели и задачи долговой политики на 202</w:t>
      </w:r>
      <w:r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7"/>
          <w:szCs w:val="27"/>
        </w:rPr>
        <w:t>-202</w:t>
      </w:r>
      <w:r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7"/>
          <w:szCs w:val="27"/>
        </w:rPr>
        <w:t>годы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8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Реализация долговой политики в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sz w:val="27"/>
          <w:szCs w:val="27"/>
        </w:rPr>
        <w:t> - 202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sz w:val="27"/>
          <w:szCs w:val="27"/>
        </w:rPr>
        <w:t> годах будет осуществляться в соответствии со следующими целями их достижения: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1134"/>
          <w:tab w:val="left" w:pos="1276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обеспечение исполнения долговых обязательств в полном объеме и в установленные сроки;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1134"/>
          <w:tab w:val="left" w:pos="1276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оптимизация структуры муниципального долга;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1134"/>
          <w:tab w:val="left" w:pos="1276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снижение рисков в сфере управления муниципальным  долгом;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1134"/>
          <w:tab w:val="left" w:pos="1276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соблюдение условий Соглашения 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о реструктуризации задолженности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 поселения Торбеевского муниципального района Республики Мордовия по бюджетным кредитам, предоставленным из бюджета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7"/>
          <w:szCs w:val="27"/>
        </w:rPr>
        <w:t>.</w:t>
      </w:r>
    </w:p>
    <w:p>
      <w:pPr>
        <w:keepNext w:val="0"/>
        <w:keepLines w:val="0"/>
        <w:pageBreakBefore w:val="0"/>
        <w:tabs>
          <w:tab w:val="left" w:pos="1134"/>
          <w:tab w:val="left" w:pos="1276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   При возникновении потребности  в финансировании кассовых разрывов возможно привлечение бюджетных кредитов на пополнение остатков средств на счетах бюджета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7"/>
          <w:szCs w:val="27"/>
        </w:rPr>
        <w:t xml:space="preserve"> поселения Торбеевского муниципального района Республики Мордовия.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textAlignment w:val="auto"/>
        <w:rPr>
          <w:rFonts w:hint="default" w:ascii="Times New Roman" w:hAnsi="Times New Roman" w:cs="Times New Roman"/>
          <w:b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 xml:space="preserve">Инструменты реализации долговой политики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/>
          <w:color w:val="auto"/>
          <w:sz w:val="27"/>
          <w:szCs w:val="27"/>
        </w:rPr>
        <w:t xml:space="preserve"> поселения Торбеевского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муниципального района 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  <w:b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Реализация долговой политики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7"/>
          <w:szCs w:val="27"/>
        </w:rPr>
        <w:t xml:space="preserve"> поселения Торбеевского муниципального района Республики Мордовия в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sz w:val="27"/>
          <w:szCs w:val="27"/>
        </w:rPr>
        <w:t>-202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sz w:val="27"/>
          <w:szCs w:val="27"/>
        </w:rPr>
        <w:t xml:space="preserve"> годах будет осуществляться в условиях ограниченности финансовых ресурсов.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Для обеспечения реализации эффективной долговой политики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7"/>
          <w:szCs w:val="27"/>
        </w:rPr>
        <w:t xml:space="preserve"> поселения Торбеевского муниципального района Республики Мордовия инструментами реализации долговой политики будут являться: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кредиты кредитных организаций;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бюджетные кредиты, получаемые от бюджетов бюджетной системы Российской Федерации.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При возникновении потребности в финансировании кассовых разрывов возможно привлечение бюджетных кредитов на пополнение остатков средств на счетах бюджетов муниципального образования.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center"/>
        <w:textAlignment w:val="auto"/>
        <w:rPr>
          <w:rFonts w:hint="default" w:ascii="Times New Roman" w:hAnsi="Times New Roman" w:cs="Times New Roman"/>
          <w:b/>
          <w:bCs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</w:rPr>
        <w:t>Анализ рисков для бюджета, возникающих в процессе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</w:rPr>
        <w:t>управления муниципальным долгом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  <w:b/>
          <w:bCs/>
          <w:sz w:val="27"/>
          <w:szCs w:val="2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Основными рисками, связанными с управлением муниципальным долгом в период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sz w:val="27"/>
          <w:szCs w:val="27"/>
        </w:rPr>
        <w:t> - 202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6</w:t>
      </w:r>
      <w:r>
        <w:rPr>
          <w:rFonts w:hint="default" w:ascii="Times New Roman" w:hAnsi="Times New Roman" w:cs="Times New Roman"/>
          <w:sz w:val="27"/>
          <w:szCs w:val="27"/>
        </w:rPr>
        <w:t> годов являются: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риск рефинансирования долговых обязательств;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>процентный риск;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риск недостижения планируемых объемов поступлений доходов бюджета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7"/>
          <w:szCs w:val="27"/>
        </w:rPr>
        <w:t xml:space="preserve"> поселения Торбеевского муниципального района Республики Мордовия;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риск несоблюдения условий Соглашения о 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реструктуризации задолженности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 поселения Торбеевского муниципального района Республики Мордовия по бюджетным кредитам, предоставленным из бюджета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7"/>
          <w:szCs w:val="27"/>
        </w:rPr>
        <w:t>, заключенных в соответствии с Правилами проведения реструктуризации.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right="0" w:firstLine="709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Долговая политика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7"/>
          <w:szCs w:val="27"/>
        </w:rPr>
        <w:t xml:space="preserve"> поселения Торбеевского муниципального района в предстоящий период будет направлена на последовательное снижение уровня муниципального долга за счет формирования профицитного бюджета, осуществления заимствований в объемах, необходимых для рефинансирования долга независимо от конъюнктуры рынков капитала.</w:t>
      </w:r>
    </w:p>
    <w:p>
      <w:pPr>
        <w:spacing w:before="0" w:after="0"/>
        <w:contextualSpacing/>
        <w:jc w:val="both"/>
        <w:rPr>
          <w:sz w:val="27"/>
          <w:szCs w:val="27"/>
        </w:rPr>
      </w:pPr>
    </w:p>
    <w:p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  <w:sz w:val="27"/>
        <w:szCs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0F901207"/>
    <w:rsid w:val="1B277E17"/>
    <w:rsid w:val="1F9468D6"/>
    <w:rsid w:val="21A46B06"/>
    <w:rsid w:val="2E0827CE"/>
    <w:rsid w:val="310A3BD1"/>
    <w:rsid w:val="3333258B"/>
    <w:rsid w:val="3F121267"/>
    <w:rsid w:val="3F2269FC"/>
    <w:rsid w:val="41FB00C8"/>
    <w:rsid w:val="5A7102AA"/>
    <w:rsid w:val="666C2B42"/>
    <w:rsid w:val="707F3F7B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67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68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67"/>
    <w:pPr>
      <w:widowControl w:val="0"/>
      <w:numPr>
        <w:ilvl w:val="0"/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2"/>
    <w:basedOn w:val="1"/>
    <w:next w:val="4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iPriority w:val="68"/>
    <w:pPr>
      <w:tabs>
        <w:tab w:val="center" w:pos="4677"/>
        <w:tab w:val="right" w:pos="9355"/>
      </w:tabs>
    </w:pPr>
  </w:style>
  <w:style w:type="paragraph" w:styleId="13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7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7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36">
    <w:name w:val="Цветовое выделение"/>
    <w:qFormat/>
    <w:uiPriority w:val="67"/>
    <w:rPr>
      <w:b/>
      <w:bCs/>
      <w:color w:val="000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2023-11-27T09:56:25Z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1F3653ABFDD547D9A7D5DF46DC7C1B67_13</vt:lpwstr>
  </property>
</Properties>
</file>