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bookmarkStart w:id="0" w:name="sub_11"/>
      <w:r>
        <w:rPr>
          <w:b/>
          <w:bCs/>
          <w:sz w:val="28"/>
          <w:szCs w:val="28"/>
          <w:lang w:eastAsia="ar-SA"/>
        </w:rPr>
        <w:t>АДМИНИСТРАЦИЯ ТОРБЕЕВСКОГО ГОРОДСКОГО ПОСЕЛЕНИЯ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ТОРБЕЕВСКОГО МУНИЦИПАЛЬНОГО РАЙОНА </w:t>
      </w:r>
    </w:p>
    <w:p>
      <w:pPr>
        <w:pStyle w:val="16"/>
        <w:spacing w:line="240" w:lineRule="auto"/>
        <w:ind w:left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РЕСПУБЛИКИ МОРДОВИЯ</w:t>
      </w:r>
    </w:p>
    <w:p>
      <w:pPr>
        <w:pStyle w:val="16"/>
        <w:spacing w:line="240" w:lineRule="auto"/>
        <w:ind w:left="0"/>
        <w:rPr>
          <w:b w:val="0"/>
          <w:bCs/>
          <w:sz w:val="28"/>
          <w:lang w:eastAsia="ar-SA"/>
        </w:rPr>
      </w:pPr>
    </w:p>
    <w:p>
      <w:pPr>
        <w:spacing w:after="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</w:p>
    <w:p>
      <w:pPr>
        <w:snapToGrid w:val="0"/>
        <w:spacing w:after="0" w:line="240" w:lineRule="auto"/>
        <w:rPr>
          <w:rFonts w:hint="default"/>
          <w:b/>
          <w:sz w:val="28"/>
          <w:szCs w:val="20"/>
          <w:lang w:val="ru-RU" w:eastAsia="ar-SA"/>
        </w:rPr>
      </w:pPr>
      <w:r>
        <w:rPr>
          <w:b/>
          <w:sz w:val="28"/>
          <w:szCs w:val="28"/>
          <w:lang w:eastAsia="ar-SA"/>
        </w:rPr>
        <w:t>«</w:t>
      </w:r>
      <w:r>
        <w:rPr>
          <w:rFonts w:hint="default"/>
          <w:b/>
          <w:sz w:val="28"/>
          <w:szCs w:val="28"/>
          <w:lang w:val="ru-RU" w:eastAsia="ar-SA"/>
        </w:rPr>
        <w:t>20</w:t>
      </w:r>
      <w:r>
        <w:rPr>
          <w:b/>
          <w:sz w:val="28"/>
          <w:szCs w:val="28"/>
          <w:lang w:eastAsia="ar-SA"/>
        </w:rPr>
        <w:t>»  мая  202</w:t>
      </w:r>
      <w:r>
        <w:rPr>
          <w:rFonts w:hint="default"/>
          <w:b/>
          <w:sz w:val="28"/>
          <w:szCs w:val="28"/>
          <w:lang w:val="ru-RU" w:eastAsia="ar-SA"/>
        </w:rPr>
        <w:t>4</w:t>
      </w:r>
      <w:r>
        <w:rPr>
          <w:b/>
          <w:sz w:val="28"/>
          <w:szCs w:val="28"/>
          <w:lang w:eastAsia="ar-SA"/>
        </w:rPr>
        <w:t xml:space="preserve"> г.                                                                                          </w:t>
      </w:r>
      <w:r>
        <w:rPr>
          <w:b/>
          <w:sz w:val="28"/>
          <w:szCs w:val="20"/>
          <w:lang w:eastAsia="ar-SA"/>
        </w:rPr>
        <w:t xml:space="preserve">№  </w:t>
      </w:r>
      <w:r>
        <w:rPr>
          <w:rFonts w:hint="default"/>
          <w:b/>
          <w:sz w:val="28"/>
          <w:szCs w:val="20"/>
          <w:lang w:val="ru-RU" w:eastAsia="ar-SA"/>
        </w:rPr>
        <w:t>155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рп Торбеево  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                    </w:t>
      </w:r>
    </w:p>
    <w:p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 проведении электронного аукциона </w:t>
      </w:r>
      <w:r>
        <w:rPr>
          <w:b/>
          <w:bCs/>
          <w:sz w:val="28"/>
          <w:szCs w:val="28"/>
        </w:rPr>
        <w:t xml:space="preserve">на право заключения 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договора аренды земельного участка </w:t>
      </w:r>
    </w:p>
    <w:p>
      <w:pPr>
        <w:spacing w:after="0" w:line="240" w:lineRule="auto"/>
        <w:ind w:firstLine="567"/>
        <w:jc w:val="center"/>
        <w:rPr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bookmarkStart w:id="1" w:name="sub_10000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требованиями статей 39.6, 39.11, 39.13 Земельного кодекса Российской Федерации</w:t>
      </w:r>
      <w:r>
        <w:rPr>
          <w:sz w:val="28"/>
          <w:szCs w:val="28"/>
        </w:rPr>
        <w:t>, Гражданским кодексом РФ, Бюджетным кодексом РФ и иными федеральными законами, регулирующими отношения, связанные с проведением аукционов, администрация Торбеевского городского поселения</w:t>
      </w:r>
    </w:p>
    <w:p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</w:p>
    <w:p>
      <w:pPr>
        <w:spacing w:after="0" w:line="240" w:lineRule="auto"/>
        <w:ind w:right="-143" w:firstLine="56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установленном законодательством порядке электронный аукцион </w:t>
      </w:r>
      <w:r>
        <w:rPr>
          <w:bCs/>
          <w:sz w:val="28"/>
          <w:szCs w:val="28"/>
        </w:rPr>
        <w:t>на право заключения договора аренды земельного участка,  расположенного на территории Торбеевского городского поселения Торбеевского муниципального района</w:t>
      </w:r>
      <w:r>
        <w:rPr>
          <w:sz w:val="28"/>
          <w:szCs w:val="28"/>
        </w:rPr>
        <w:t xml:space="preserve"> Республики Мордовия: </w:t>
      </w:r>
    </w:p>
    <w:p>
      <w:pPr>
        <w:spacing w:after="0" w:line="240" w:lineRule="auto"/>
        <w:ind w:firstLine="567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1.1. Земельный участок, категория земель: Земли населенных пунктов, вид  разрешенного использования: </w:t>
      </w:r>
      <w:r>
        <w:rPr>
          <w:rFonts w:eastAsia="BatangChe"/>
          <w:sz w:val="28"/>
          <w:szCs w:val="28"/>
          <w:lang w:val="ru-RU"/>
        </w:rPr>
        <w:t>для</w:t>
      </w:r>
      <w:r>
        <w:rPr>
          <w:rFonts w:hint="default" w:eastAsia="BatangChe"/>
          <w:sz w:val="28"/>
          <w:szCs w:val="28"/>
          <w:lang w:val="ru-RU"/>
        </w:rPr>
        <w:t xml:space="preserve"> индивидуального жилищного строительства</w:t>
      </w:r>
      <w:r>
        <w:rPr>
          <w:rFonts w:eastAsia="BatangChe"/>
          <w:sz w:val="28"/>
          <w:szCs w:val="28"/>
        </w:rPr>
        <w:t>, площадью 1 </w:t>
      </w:r>
      <w:r>
        <w:rPr>
          <w:rFonts w:hint="default" w:eastAsia="BatangChe"/>
          <w:sz w:val="28"/>
          <w:szCs w:val="28"/>
          <w:lang w:val="ru-RU"/>
        </w:rPr>
        <w:t>100</w:t>
      </w:r>
      <w:r>
        <w:rPr>
          <w:rFonts w:eastAsia="BatangChe"/>
          <w:sz w:val="28"/>
          <w:szCs w:val="28"/>
        </w:rPr>
        <w:t xml:space="preserve"> кв. м., с кадастровым номером 13:21:01010</w:t>
      </w:r>
      <w:r>
        <w:rPr>
          <w:rFonts w:hint="default" w:eastAsia="BatangChe"/>
          <w:sz w:val="28"/>
          <w:szCs w:val="28"/>
          <w:lang w:val="ru-RU"/>
        </w:rPr>
        <w:t>26</w:t>
      </w:r>
      <w:r>
        <w:rPr>
          <w:rFonts w:eastAsia="BatangChe"/>
          <w:sz w:val="28"/>
          <w:szCs w:val="28"/>
        </w:rPr>
        <w:t>:</w:t>
      </w:r>
      <w:r>
        <w:rPr>
          <w:rFonts w:hint="default" w:eastAsia="BatangChe"/>
          <w:sz w:val="28"/>
          <w:szCs w:val="28"/>
          <w:lang w:val="ru-RU"/>
        </w:rPr>
        <w:t>478</w:t>
      </w:r>
      <w:r>
        <w:rPr>
          <w:rFonts w:eastAsia="BatangChe"/>
          <w:sz w:val="28"/>
          <w:szCs w:val="28"/>
        </w:rPr>
        <w:t xml:space="preserve">, находящийся по адресу: Республика Мордовия, Торбеевский муниципальный район, Торбеевское городское поселение, </w:t>
      </w:r>
      <w:r>
        <w:rPr>
          <w:rFonts w:eastAsia="BatangChe"/>
          <w:sz w:val="28"/>
          <w:szCs w:val="28"/>
          <w:lang w:val="ru-RU"/>
        </w:rPr>
        <w:t>рп</w:t>
      </w:r>
      <w:r>
        <w:rPr>
          <w:rFonts w:hint="default" w:eastAsia="BatangChe"/>
          <w:sz w:val="28"/>
          <w:szCs w:val="28"/>
          <w:lang w:val="ru-RU"/>
        </w:rPr>
        <w:t>. Торбеево ул. Сельхозтехника</w:t>
      </w:r>
      <w:r>
        <w:rPr>
          <w:rFonts w:eastAsia="BatangChe"/>
          <w:sz w:val="28"/>
          <w:szCs w:val="28"/>
        </w:rPr>
        <w:t xml:space="preserve">, </w:t>
      </w:r>
      <w:r>
        <w:rPr>
          <w:rFonts w:hint="default" w:eastAsia="BatangChe"/>
          <w:sz w:val="28"/>
          <w:szCs w:val="28"/>
          <w:lang w:val="ru-RU"/>
        </w:rPr>
        <w:t>23</w:t>
      </w:r>
      <w:r>
        <w:rPr>
          <w:rFonts w:eastAsia="BatangChe"/>
          <w:sz w:val="28"/>
          <w:szCs w:val="28"/>
        </w:rPr>
        <w:t xml:space="preserve">, 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ограничения прав на земельный участок, предусмотренные статьей 56 Земельного кодекса Российской Федерации; срок действия: c 26.03.2024; реквизиты документа-основания: пояснительная записка от 26.09.2014 № б/н; доверенность от 19.09.2013 № 8-5653; доверенность от 18.07.2014 № 64 А А 1242815; техническое задание от 06.06.2014 № б/н; карта(план) Охранной зоны объекта ВЛ-0,4кВ №4 от ТП-10/0,4 кВ № Ц20401 пгт. Торбеево Торбеевского района Республики Мордовия от 26.09.2014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26.03.2024; реквизиты документа-основания: приказ "Об установлении зон санитарной охраны источников питьевого и хозяйственно-бытового водоснабжения ООО "МПК "Атяшевский" севернее р.п. Торбеево от 23.12.2022 № 959 выдан: Министерство лесного, охотничьего хозяйства и природопользования Республики Мордовия (Минлесхоз Республики Мордовия).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</w:t>
      </w:r>
      <w:r>
        <w:rPr>
          <w:rFonts w:eastAsia="BatangChe"/>
          <w:sz w:val="28"/>
          <w:szCs w:val="28"/>
        </w:rPr>
        <w:t>.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 Определить начальную цену предмета электронного аукциона</w:t>
      </w:r>
      <w:r>
        <w:rPr>
          <w:rFonts w:ascii="Times New Roman" w:hAnsi="Times New Roman"/>
          <w:sz w:val="28"/>
          <w:szCs w:val="28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/>
          <w:sz w:val="28"/>
          <w:szCs w:val="28"/>
          <w:lang w:val="ru-RU"/>
        </w:rPr>
        <w:t>3 084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три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тысячи восемьдесят четыре</w:t>
      </w:r>
      <w:r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 xml:space="preserve">  копе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в год.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Утвердить текст информационного сообщения о проведении электронного аукциона, указанного в п.1.1. настоящего постановления, согласно приложению  1 к настоящему постановлению.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настоящего постановления оставляю за собой.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>
      <w:pPr>
        <w:spacing w:after="0" w:line="240" w:lineRule="auto"/>
        <w:ind w:right="-285"/>
        <w:rPr>
          <w:b/>
          <w:sz w:val="24"/>
          <w:szCs w:val="24"/>
        </w:rPr>
      </w:pPr>
      <w:r>
        <w:rPr>
          <w:sz w:val="28"/>
          <w:szCs w:val="28"/>
        </w:rPr>
        <w:t xml:space="preserve">Торбеевского городского поселения                                         </w:t>
      </w:r>
      <w:bookmarkEnd w:id="1"/>
      <w:r>
        <w:rPr>
          <w:sz w:val="28"/>
          <w:szCs w:val="28"/>
        </w:rPr>
        <w:t xml:space="preserve">               А.Н. Балашов</w:t>
      </w:r>
    </w:p>
    <w:bookmarkEnd w:id="0"/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  <w:r>
        <w:rPr>
          <w:rFonts w:hint="default"/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 мая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г.  № 15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shd w:val="clear" w:color="auto" w:fill="FFFFFF"/>
          <w:lang w:val="en-US"/>
        </w:rPr>
        <w:t>possovettorb</w:t>
      </w:r>
      <w:r>
        <w:rPr>
          <w:sz w:val="24"/>
          <w:szCs w:val="24"/>
          <w:shd w:val="clear" w:color="auto" w:fill="FFFFFF"/>
        </w:rPr>
        <w:t>@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  <w:lang w:val="en-US"/>
        </w:rPr>
        <w:t>ru</w:t>
      </w:r>
      <w:r>
        <w:rPr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sz w:val="24"/>
          <w:szCs w:val="24"/>
        </w:rPr>
        <w:t>www.torgi.gov.ru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Основание проведения открытого аукциона</w:t>
      </w:r>
      <w:r>
        <w:rPr>
          <w:sz w:val="24"/>
          <w:szCs w:val="24"/>
        </w:rPr>
        <w:t>: Постановление администрации Торбеевского городского поселения от 2</w:t>
      </w:r>
      <w:r>
        <w:rPr>
          <w:rFonts w:hint="default"/>
          <w:sz w:val="24"/>
          <w:szCs w:val="24"/>
          <w:lang w:val="ru-RU"/>
        </w:rPr>
        <w:t>0</w:t>
      </w:r>
      <w:r>
        <w:rPr>
          <w:sz w:val="24"/>
          <w:szCs w:val="24"/>
        </w:rPr>
        <w:t xml:space="preserve"> мая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г.  № 15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«О  проведении электронного аукциона </w:t>
      </w:r>
      <w:r>
        <w:rPr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eastAsia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открытый аукцион проводится в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2" w:name="sub_13"/>
      <w:r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sz w:val="24"/>
          <w:szCs w:val="24"/>
        </w:rPr>
        <w:t xml:space="preserve">АО «Единая электронная торговая площадка»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"https://etp.roseltorg.ru/" </w:instrText>
      </w:r>
      <w:r>
        <w:fldChar w:fldCharType="separate"/>
      </w:r>
      <w:r>
        <w:rPr>
          <w:rStyle w:val="7"/>
          <w:sz w:val="24"/>
          <w:szCs w:val="24"/>
        </w:rPr>
        <w:t>https://etp.roseltorg.ru/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20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июня  202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 июня 202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24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25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32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eastAsia="BatangChe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eastAsia="BatangChe"/>
          <w:sz w:val="24"/>
          <w:szCs w:val="24"/>
          <w:lang w:val="ru-RU"/>
        </w:rPr>
        <w:t>для</w:t>
      </w:r>
      <w:r>
        <w:rPr>
          <w:rFonts w:hint="default" w:eastAsia="BatangChe"/>
          <w:sz w:val="24"/>
          <w:szCs w:val="24"/>
          <w:lang w:val="ru-RU"/>
        </w:rPr>
        <w:t xml:space="preserve"> индивидуального жилищного строительства</w:t>
      </w:r>
      <w:r>
        <w:rPr>
          <w:rFonts w:eastAsia="BatangChe"/>
          <w:sz w:val="24"/>
          <w:szCs w:val="24"/>
        </w:rPr>
        <w:t>, площадью 1 </w:t>
      </w:r>
      <w:r>
        <w:rPr>
          <w:rFonts w:hint="default" w:eastAsia="BatangChe"/>
          <w:sz w:val="24"/>
          <w:szCs w:val="24"/>
          <w:lang w:val="ru-RU"/>
        </w:rPr>
        <w:t>100</w:t>
      </w:r>
      <w:r>
        <w:rPr>
          <w:rFonts w:eastAsia="BatangChe"/>
          <w:sz w:val="24"/>
          <w:szCs w:val="24"/>
        </w:rPr>
        <w:t xml:space="preserve"> кв. м., с кадастровым номером 13:21:01010</w:t>
      </w:r>
      <w:r>
        <w:rPr>
          <w:rFonts w:hint="default" w:eastAsia="BatangChe"/>
          <w:sz w:val="24"/>
          <w:szCs w:val="24"/>
          <w:lang w:val="ru-RU"/>
        </w:rPr>
        <w:t>26</w:t>
      </w:r>
      <w:r>
        <w:rPr>
          <w:rFonts w:eastAsia="BatangChe"/>
          <w:sz w:val="24"/>
          <w:szCs w:val="24"/>
        </w:rPr>
        <w:t>:</w:t>
      </w:r>
      <w:r>
        <w:rPr>
          <w:rFonts w:hint="default" w:eastAsia="BatangChe"/>
          <w:sz w:val="24"/>
          <w:szCs w:val="24"/>
          <w:lang w:val="ru-RU"/>
        </w:rPr>
        <w:t>478</w:t>
      </w:r>
      <w:r>
        <w:rPr>
          <w:rFonts w:eastAsia="BatangChe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</w:t>
      </w:r>
      <w:r>
        <w:rPr>
          <w:rFonts w:eastAsia="BatangChe"/>
          <w:sz w:val="24"/>
          <w:szCs w:val="24"/>
          <w:lang w:val="ru-RU"/>
        </w:rPr>
        <w:t>рп</w:t>
      </w:r>
      <w:r>
        <w:rPr>
          <w:rFonts w:hint="default" w:eastAsia="BatangChe"/>
          <w:sz w:val="24"/>
          <w:szCs w:val="24"/>
          <w:lang w:val="ru-RU"/>
        </w:rPr>
        <w:t>. Торбеево ул. Сельхозтехника</w:t>
      </w:r>
      <w:r>
        <w:rPr>
          <w:rFonts w:eastAsia="BatangChe"/>
          <w:sz w:val="24"/>
          <w:szCs w:val="24"/>
        </w:rPr>
        <w:t xml:space="preserve">, </w:t>
      </w:r>
      <w:r>
        <w:rPr>
          <w:rFonts w:hint="default" w:eastAsia="BatangChe"/>
          <w:sz w:val="24"/>
          <w:szCs w:val="24"/>
          <w:lang w:val="ru-RU"/>
        </w:rPr>
        <w:t>23</w:t>
      </w:r>
      <w:r>
        <w:rPr>
          <w:rFonts w:eastAsia="BatangChe"/>
          <w:sz w:val="24"/>
          <w:szCs w:val="24"/>
        </w:rPr>
        <w:t xml:space="preserve">, 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 срок действия: c 26.03.2024; реквизиты документа-основания: пояснительная записка от 26.09.2014 № б/н; доверенность от 19.09.2013 № 8-5653; доверенность от 18.07.2014 № 64 А А 1242815; техническое задание от 06.06.2014 № б/н; карта(план) Охранной зоны объекта ВЛ-0,4кВ №4 от ТП-10/0,4 кВ № Ц20401 пгт. Торбеево Торбеевского района Республики Мордовия от 26.09.2014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26.03.2024; реквизиты документа-основания: приказ "Об установлении зон санитарной охраны источников питьевого и хозяйственно-бытового водоснабжения ООО "МПК "Атяшевский" севернее р.п. Торбеево от 23.12.2022 № 959 выдан: Министерство лесного, охотничьего хозяйства и природопользования Республики Мордовия (Минлесхоз Республики Мордовия).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</w:t>
      </w:r>
    </w:p>
    <w:p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tbl>
      <w:tblPr>
        <w:tblStyle w:val="6"/>
        <w:tblpPr w:leftFromText="180" w:rightFromText="180" w:vertAnchor="text" w:horzAnchor="page" w:tblpX="1100" w:tblpY="353"/>
        <w:tblOverlap w:val="never"/>
        <w:tblW w:w="10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62"/>
        <w:gridCol w:w="575"/>
        <w:gridCol w:w="675"/>
        <w:gridCol w:w="1138"/>
        <w:gridCol w:w="1062"/>
        <w:gridCol w:w="1388"/>
        <w:gridCol w:w="129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tblHeader/>
        </w:trPr>
        <w:tc>
          <w:tcPr>
            <w:tcW w:w="10223" w:type="dxa"/>
            <w:gridSpan w:val="9"/>
            <w:shd w:val="clear" w:color="auto" w:fill="C6D9F1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020" w:type="dxa"/>
            <w:vMerge w:val="restart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и код ВРИ</w:t>
            </w:r>
          </w:p>
        </w:tc>
        <w:tc>
          <w:tcPr>
            <w:tcW w:w="1762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Описание ВРИ</w:t>
            </w:r>
          </w:p>
        </w:tc>
        <w:tc>
          <w:tcPr>
            <w:tcW w:w="2388" w:type="dxa"/>
            <w:gridSpan w:val="3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Предельные размеры земельных участков</w:t>
            </w:r>
          </w:p>
        </w:tc>
        <w:tc>
          <w:tcPr>
            <w:tcW w:w="1062" w:type="dxa"/>
            <w:vMerge w:val="restart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Предельное количество этажей. Предельная высота.</w:t>
            </w:r>
          </w:p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(эт./м.)</w:t>
            </w:r>
          </w:p>
        </w:tc>
        <w:tc>
          <w:tcPr>
            <w:tcW w:w="1388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291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 отступы от границ земельного участка (м.)</w:t>
            </w:r>
          </w:p>
        </w:tc>
        <w:tc>
          <w:tcPr>
            <w:tcW w:w="1312" w:type="dxa"/>
            <w:vMerge w:val="restart"/>
            <w:shd w:val="clear" w:color="auto" w:fill="EAF1DD"/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tblHeader/>
        </w:trPr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 (кв. м.)</w:t>
            </w:r>
          </w:p>
        </w:tc>
        <w:tc>
          <w:tcPr>
            <w:tcW w:w="1138" w:type="dxa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Длина границы земельного участка вдоль фронта улицы (проезда) (м.) </w:t>
            </w:r>
          </w:p>
        </w:tc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sz w:val="16"/>
                <w:szCs w:val="16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sz w:val="16"/>
                <w:szCs w:val="16"/>
              </w:rPr>
            </w:pPr>
          </w:p>
        </w:tc>
        <w:tc>
          <w:tcPr>
            <w:tcW w:w="1291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sz w:val="16"/>
                <w:szCs w:val="16"/>
              </w:rPr>
            </w:pPr>
          </w:p>
        </w:tc>
        <w:tc>
          <w:tcPr>
            <w:tcW w:w="1312" w:type="dxa"/>
            <w:vMerge w:val="continue"/>
            <w:noWrap w:val="0"/>
            <w:vAlign w:val="top"/>
          </w:tcPr>
          <w:p>
            <w:pPr>
              <w:autoSpaceDE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tblHeader/>
        </w:trPr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</w:t>
            </w:r>
            <w:r>
              <w:rPr>
                <w:b/>
                <w:sz w:val="16"/>
                <w:szCs w:val="16"/>
              </w:rPr>
              <w:t>in</w:t>
            </w:r>
          </w:p>
        </w:tc>
        <w:tc>
          <w:tcPr>
            <w:tcW w:w="675" w:type="dxa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</w:t>
            </w:r>
            <w:r>
              <w:rPr>
                <w:b/>
                <w:sz w:val="16"/>
                <w:szCs w:val="16"/>
              </w:rPr>
              <w:t>ax</w:t>
            </w:r>
          </w:p>
        </w:tc>
        <w:tc>
          <w:tcPr>
            <w:tcW w:w="1138" w:type="dxa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</w:t>
            </w:r>
            <w:r>
              <w:rPr>
                <w:b/>
                <w:sz w:val="16"/>
                <w:szCs w:val="16"/>
              </w:rPr>
              <w:t>in /</w:t>
            </w:r>
            <w:r>
              <w:rPr>
                <w:b/>
                <w:sz w:val="16"/>
                <w:szCs w:val="16"/>
                <w:lang w:val="en-US"/>
              </w:rPr>
              <w:t xml:space="preserve"> m</w:t>
            </w:r>
            <w:r>
              <w:rPr>
                <w:b/>
                <w:sz w:val="16"/>
                <w:szCs w:val="16"/>
              </w:rPr>
              <w:t xml:space="preserve">ax </w:t>
            </w:r>
          </w:p>
        </w:tc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sz w:val="16"/>
                <w:szCs w:val="16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vMerge w:val="continue"/>
            <w:noWrap w:val="0"/>
            <w:vAlign w:val="top"/>
          </w:tcPr>
          <w:p>
            <w:pPr>
              <w:autoSpaceDE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20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762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575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138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12/50 (ширина земельных участков вдоль фронта улицы (проезда)</w:t>
            </w:r>
          </w:p>
        </w:tc>
        <w:tc>
          <w:tcPr>
            <w:tcW w:w="1062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3(надземных)/</w:t>
            </w:r>
          </w:p>
          <w:p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88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  <w:tc>
          <w:tcPr>
            <w:tcW w:w="1291" w:type="dxa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Индивидуальный жилой дом;</w:t>
            </w:r>
          </w:p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Индивидуальный гараж;</w:t>
            </w:r>
          </w:p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Баня;</w:t>
            </w:r>
          </w:p>
          <w:p>
            <w:pPr>
              <w:autoSpaceDE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- Сарай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center"/>
          </w:tcPr>
          <w:p>
            <w:pPr>
              <w:autoSpaceDE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отступ застройки от красной линии улиц - 5 м;</w:t>
            </w:r>
          </w:p>
          <w:p>
            <w:pPr>
              <w:autoSpaceDE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минимальный отступ застройки от красной линии проездов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- 3 м</w:t>
            </w:r>
            <w:r>
              <w:rPr>
                <w:bCs/>
                <w:sz w:val="16"/>
                <w:szCs w:val="16"/>
                <w:lang w:val="en-US"/>
              </w:rPr>
              <w:t>;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</w:p>
        </w:tc>
      </w:tr>
    </w:tbl>
    <w:p>
      <w:pPr>
        <w:widowControl w:val="0"/>
        <w:tabs>
          <w:tab w:val="left" w:pos="720"/>
        </w:tabs>
        <w:adjustRightInd w:val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</w:t>
      </w:r>
    </w:p>
    <w:p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Вспомогательные виды разрешенного использования</w:t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Не подлежат установлению.</w:t>
      </w:r>
    </w:p>
    <w:p>
      <w:pPr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Не допускается размещение жилой застройки, объектов учебно-образовательного назначения и объектов здравоохранения в санитарно-защитных зонах, установленных в предусмотренном действующим законодательством порядке.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В границах зоны застройки индивидуальными жилыми домами Ж1 не допускается: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а)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б)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в) размещение рекламы на ограждениях участка, домах, строениях;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г) размещение со стороны улиц вспомогательных строений, за исключением гаражей;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sz w:val="22"/>
          <w:szCs w:val="22"/>
        </w:rPr>
      </w:pPr>
      <w:r>
        <w:rPr>
          <w:sz w:val="22"/>
          <w:szCs w:val="22"/>
        </w:rPr>
        <w:t>д) размещение бань, саун при отсутствии канализования стоков.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sz w:val="22"/>
          <w:szCs w:val="22"/>
        </w:rPr>
      </w:pPr>
      <w:r>
        <w:rPr>
          <w:sz w:val="22"/>
          <w:szCs w:val="22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23 настоящих Правил.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jc w:val="both"/>
        <w:textAlignment w:val="auto"/>
        <w:rPr>
          <w:b/>
          <w:bCs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Информация о возможности подключения к сетям инженерно-техническогообеспечения</w:t>
      </w:r>
      <w:r>
        <w:rPr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jc w:val="both"/>
        <w:textAlignment w:val="auto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6. </w:t>
      </w:r>
      <w:r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/>
          <w:sz w:val="24"/>
          <w:szCs w:val="24"/>
          <w:lang w:val="ru-RU"/>
        </w:rPr>
        <w:t>3 084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три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тысячи восемьдесят четыре</w:t>
      </w:r>
      <w:r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03</w:t>
      </w:r>
      <w:r>
        <w:rPr>
          <w:rFonts w:ascii="Times New Roman" w:hAnsi="Times New Roman"/>
          <w:sz w:val="24"/>
          <w:szCs w:val="24"/>
        </w:rPr>
        <w:t xml:space="preserve">  копе</w:t>
      </w:r>
      <w:r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 xml:space="preserve"> в год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fldChar w:fldCharType="begin"/>
      </w:r>
      <w:r>
        <w:instrText xml:space="preserve"> HYPERLINK "consultantplus://offline/ref=22E2BDF78A9D4455BB71EF6DCF3945A48527CE17D328D641F9175B09C51C4CCB27FEC3204C64FE5B2C98AA31823D9FD50421B8B765D4v418N" </w:instrText>
      </w:r>
      <w:r>
        <w:fldChar w:fldCharType="separate"/>
      </w:r>
      <w:r>
        <w:rPr>
          <w:color w:val="0000FF"/>
          <w:sz w:val="24"/>
          <w:szCs w:val="24"/>
          <w:lang w:eastAsia="ru-RU"/>
        </w:rPr>
        <w:t xml:space="preserve">пункте </w:t>
      </w:r>
      <w:r>
        <w:rPr>
          <w:color w:val="0000FF"/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8, </w:t>
      </w:r>
      <w:r>
        <w:rPr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3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9. </w:t>
      </w:r>
      <w:r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b/>
          <w:sz w:val="24"/>
          <w:szCs w:val="24"/>
        </w:rPr>
        <w:t>личный лицевой счет претендента</w:t>
      </w:r>
      <w:r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6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12"/>
          <w:rFonts w:eastAsiaTheme="minorHAnsi"/>
          <w:sz w:val="24"/>
          <w:szCs w:val="24"/>
        </w:rPr>
        <w:t xml:space="preserve"> </w:t>
      </w:r>
      <w:r>
        <w:rPr>
          <w:rStyle w:val="32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11. Срок аренды земельного участка: 20 лет.</w:t>
      </w:r>
    </w:p>
    <w:bookmarkEnd w:id="2"/>
    <w:p>
      <w:pPr>
        <w:spacing w:after="0" w:line="240" w:lineRule="auto"/>
        <w:jc w:val="both"/>
        <w:rPr>
          <w:sz w:val="24"/>
          <w:szCs w:val="24"/>
        </w:rPr>
      </w:pPr>
      <w:bookmarkStart w:id="3" w:name="sub_56"/>
      <w:r>
        <w:rPr>
          <w:b/>
          <w:sz w:val="24"/>
          <w:szCs w:val="24"/>
        </w:rPr>
        <w:t xml:space="preserve">         12. Отказ от проведения аукциона</w:t>
      </w:r>
      <w:r>
        <w:rPr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fldChar w:fldCharType="begin"/>
      </w:r>
      <w:r>
        <w:instrText xml:space="preserve"> HYPERLINK "file:///C:\\Users\\Иван\\Desktop\\работа\\земля\\Аукционы\\Для%20ИЖС\\Мазилуг,%20170\\документация.docx" \l "sub_39118"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пунктом 8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fldChar w:fldCharType="begin"/>
      </w:r>
      <w:r>
        <w:instrText xml:space="preserve"> HYPERLINK "garantF1://890941.25746134"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официальном сайте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sz w:val="24"/>
          <w:szCs w:val="24"/>
        </w:rPr>
      </w:pPr>
      <w:bookmarkStart w:id="4" w:name="sub_391281"/>
      <w:r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2"/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5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6" w:name="sub_391283"/>
      <w:r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6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</w:pPr>
      <w:r>
        <w:t>Отказ в допуске к участию в торгах по иным основаниям, кроме указанных в</w:t>
      </w:r>
      <w:r>
        <w:rPr>
          <w:rStyle w:val="14"/>
        </w:rPr>
        <w:t> </w:t>
      </w:r>
      <w:r>
        <w:t>п.8 ст.39.12 Земельного кодекса РФ оснований, не допускается.</w:t>
      </w:r>
    </w:p>
    <w:bookmarkEnd w:id="3"/>
    <w:p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>
        <w:rPr>
          <w:rFonts w:eastAsia="Times New Roman"/>
          <w:sz w:val="24"/>
          <w:szCs w:val="24"/>
          <w:lang w:eastAsia="ru-RU"/>
        </w:rPr>
        <w:t xml:space="preserve"> дней </w:t>
      </w:r>
      <w:r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i/>
          <w:sz w:val="24"/>
          <w:szCs w:val="24"/>
          <w:lang w:eastAsia="ru-RU"/>
        </w:rPr>
        <w:t>в течение десяти</w:t>
      </w:r>
      <w:r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i/>
          <w:sz w:val="24"/>
          <w:szCs w:val="24"/>
          <w:lang w:eastAsia="ru-RU"/>
        </w:rPr>
        <w:t>в течение десяти дней</w:t>
      </w:r>
      <w:r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1"/>
        <w:spacing w:before="0" w:beforeAutospacing="0" w:after="0" w:afterAutospacing="0"/>
        <w:ind w:firstLine="544"/>
        <w:jc w:val="both"/>
      </w:pPr>
      <w:r>
        <w:rPr>
          <w:b/>
          <w:bCs/>
        </w:rPr>
        <w:t>Дополнительную информацию:</w:t>
      </w:r>
      <w:r>
        <w:rPr>
          <w:rStyle w:val="14"/>
        </w:rPr>
        <w:t> </w:t>
      </w:r>
      <w: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14"/>
        </w:rPr>
        <w:t>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lang w:val="en-US"/>
        </w:rPr>
        <w:t>www</w:t>
      </w:r>
      <w:r>
        <w:rPr>
          <w:rStyle w:val="7"/>
        </w:rPr>
        <w:t>.</w:t>
      </w:r>
      <w:r>
        <w:rPr>
          <w:rStyle w:val="7"/>
          <w:lang w:val="en-US"/>
        </w:rPr>
        <w:t>torgi</w:t>
      </w:r>
      <w:r>
        <w:rPr>
          <w:rStyle w:val="7"/>
        </w:rPr>
        <w:t>.</w:t>
      </w:r>
      <w:r>
        <w:rPr>
          <w:rStyle w:val="7"/>
          <w:lang w:val="en-US"/>
        </w:rPr>
        <w:t>gov</w:t>
      </w:r>
      <w:r>
        <w:rPr>
          <w:rStyle w:val="7"/>
        </w:rPr>
        <w:t>.</w:t>
      </w:r>
      <w:r>
        <w:rPr>
          <w:rStyle w:val="7"/>
          <w:lang w:val="en-US"/>
        </w:rPr>
        <w:t>ru</w:t>
      </w:r>
      <w:r>
        <w:rPr>
          <w:rStyle w:val="7"/>
          <w:lang w:val="en-US"/>
        </w:rPr>
        <w:fldChar w:fldCharType="end"/>
      </w:r>
      <w:r>
        <w:t>.</w:t>
      </w:r>
      <w:bookmarkStart w:id="7" w:name="_GoBack"/>
      <w:bookmarkEnd w:id="7"/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61F8"/>
    <w:rsid w:val="001C7139"/>
    <w:rsid w:val="001D0D8D"/>
    <w:rsid w:val="001D6E67"/>
    <w:rsid w:val="001E02E4"/>
    <w:rsid w:val="001E20D1"/>
    <w:rsid w:val="001E2E27"/>
    <w:rsid w:val="001E7282"/>
    <w:rsid w:val="001F37FA"/>
    <w:rsid w:val="001F4AB1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0BC1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B6067"/>
    <w:rsid w:val="004C65A0"/>
    <w:rsid w:val="004D4E3A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76DE"/>
    <w:rsid w:val="005C134D"/>
    <w:rsid w:val="005C3AE1"/>
    <w:rsid w:val="005C5E57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6EDE"/>
    <w:rsid w:val="00B501F1"/>
    <w:rsid w:val="00B547DE"/>
    <w:rsid w:val="00B56924"/>
    <w:rsid w:val="00B619B1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4D53"/>
    <w:rsid w:val="00B97038"/>
    <w:rsid w:val="00BA3CB8"/>
    <w:rsid w:val="00BA703C"/>
    <w:rsid w:val="00BB6710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326C0"/>
    <w:rsid w:val="00F33387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ADD"/>
    <w:rsid w:val="00FB377F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10A26B84"/>
    <w:rsid w:val="348E1C47"/>
    <w:rsid w:val="36676F4F"/>
    <w:rsid w:val="60BC2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color w:val="000000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4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2">
    <w:name w:val="Заголовок 1 Знак"/>
    <w:basedOn w:val="5"/>
    <w:link w:val="2"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13">
    <w:name w:val="western"/>
    <w:basedOn w:val="1"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4">
    <w:name w:val="apple-converted-space"/>
    <w:basedOn w:val="5"/>
    <w:uiPriority w:val="0"/>
  </w:style>
  <w:style w:type="character" w:customStyle="1" w:styleId="15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6">
    <w:name w:val="FR1"/>
    <w:uiPriority w:val="99"/>
    <w:pPr>
      <w:widowControl w:val="0"/>
      <w:spacing w:after="0" w:line="420" w:lineRule="auto"/>
      <w:ind w:left="2000"/>
      <w:jc w:val="center"/>
    </w:pPr>
    <w:rPr>
      <w:rFonts w:ascii="Times New Roman" w:hAnsi="Times New Roman" w:eastAsia="Times New Roman" w:cs="Times New Roman"/>
      <w:b/>
      <w:snapToGrid w:val="0"/>
      <w:color w:val="auto"/>
      <w:sz w:val="32"/>
      <w:szCs w:val="20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/>
      <w:color w:val="auto"/>
      <w:lang w:eastAsia="ru-RU"/>
    </w:rPr>
  </w:style>
  <w:style w:type="character" w:customStyle="1" w:styleId="18">
    <w:name w:val="Гипертекстовая ссылка"/>
    <w:basedOn w:val="5"/>
    <w:uiPriority w:val="99"/>
    <w:rPr>
      <w:color w:val="106BBE"/>
    </w:rPr>
  </w:style>
  <w:style w:type="paragraph" w:customStyle="1" w:styleId="19">
    <w:name w:val="Комментарий"/>
    <w:basedOn w:val="1"/>
    <w:next w:val="1"/>
    <w:uiPriority w:val="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0">
    <w:name w:val="Информация об изменениях документа"/>
    <w:basedOn w:val="19"/>
    <w:next w:val="1"/>
    <w:uiPriority w:val="99"/>
    <w:rPr>
      <w:i/>
      <w:iCs/>
    </w:rPr>
  </w:style>
  <w:style w:type="character" w:customStyle="1" w:styleId="21">
    <w:name w:val="Заголовок 4 Знак"/>
    <w:basedOn w:val="5"/>
    <w:link w:val="4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2">
    <w:name w:val="s_1"/>
    <w:basedOn w:val="1"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3">
    <w:name w:val="s_22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4">
    <w:name w:val="s_9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5">
    <w:name w:val="Таблицы (моноширинный)"/>
    <w:basedOn w:val="1"/>
    <w:next w:val="1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color w:val="auto"/>
      <w:sz w:val="24"/>
      <w:szCs w:val="24"/>
      <w:lang w:eastAsia="ru-RU"/>
    </w:rPr>
  </w:style>
  <w:style w:type="character" w:customStyle="1" w:styleId="26">
    <w:name w:val="Заголовок 3 Знак"/>
    <w:basedOn w:val="5"/>
    <w:link w:val="3"/>
    <w:uiPriority w:val="9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7">
    <w:name w:val="Внимание"/>
    <w:basedOn w:val="1"/>
    <w:next w:val="1"/>
    <w:uiPriority w:val="99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28">
    <w:name w:val="Верхний колонтитул Знак"/>
    <w:basedOn w:val="5"/>
    <w:link w:val="9"/>
    <w:qFormat/>
    <w:uiPriority w:val="99"/>
  </w:style>
  <w:style w:type="character" w:customStyle="1" w:styleId="29">
    <w:name w:val="Нижний колонтитул Знак"/>
    <w:basedOn w:val="5"/>
    <w:link w:val="10"/>
    <w:qFormat/>
    <w:uiPriority w:val="99"/>
  </w:style>
  <w:style w:type="table" w:customStyle="1" w:styleId="30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2">
    <w:name w:val="blk"/>
    <w:uiPriority w:val="0"/>
  </w:style>
  <w:style w:type="paragraph" w:customStyle="1" w:styleId="33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auto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E80B-492A-45A4-B9FD-C1EACFA2D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9</Pages>
  <Words>3760</Words>
  <Characters>21437</Characters>
  <Lines>178</Lines>
  <Paragraphs>50</Paragraphs>
  <TotalTime>1</TotalTime>
  <ScaleCrop>false</ScaleCrop>
  <LinksUpToDate>false</LinksUpToDate>
  <CharactersWithSpaces>25147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2023-04-05T10:05:00Z</dcterms:created>
  <dc:creator>Специалист</dc:creator>
  <cp:lastModifiedBy>WPS_1703146473</cp:lastModifiedBy>
  <cp:lastPrinted>2024-05-13T13:37:00Z</cp:lastPrinted>
  <dcterms:modified xsi:type="dcterms:W3CDTF">2024-05-20T06:28:01Z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2B801A8B5EBF41B58C5BA5A090195F19_13</vt:lpwstr>
  </property>
</Properties>
</file>