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right"/>
        <w:rPr>
          <w:rFonts w:eastAsia="Times New Roman" w:cs="Times New Roman"/>
          <w:sz w:val="32"/>
          <w:szCs w:val="32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Двадцать первая </w:t>
      </w:r>
      <w:r>
        <w:rPr>
          <w:rFonts w:eastAsia="Times New Roman"/>
          <w:b/>
          <w:bCs/>
          <w:sz w:val="27"/>
          <w:szCs w:val="27"/>
          <w:lang w:eastAsia="ru-RU"/>
        </w:rPr>
        <w:t>сессия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 «12»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декабря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eastAsia="Times New Roman"/>
          <w:b/>
          <w:bCs/>
          <w:sz w:val="28"/>
          <w:szCs w:val="28"/>
          <w:lang w:eastAsia="ru-RU"/>
        </w:rPr>
        <w:t>г.                                                                       №  66</w:t>
      </w: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fldChar w:fldCharType="begin"/>
      </w:r>
      <w:r>
        <w:instrText xml:space="preserve"> HYPERLINK "http://zakon.scli.ru/ru/legal_texts/act_municipal_education/index.php?do4=document&amp;id4=96e20c02-1b12-465a-b64c-24aa92270007" \h </w:instrText>
      </w:r>
      <w:r>
        <w:fldChar w:fldCharType="separate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2023 г. по доходам в сумме 78973,6 тысяч рублей и по расходам в сумме 80135,3 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</w:p>
    <w:tbl>
      <w:tblPr>
        <w:tblStyle w:val="3"/>
        <w:tblW w:w="10200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4806"/>
        <w:gridCol w:w="1020"/>
        <w:gridCol w:w="85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RANGE!A1%3AE73"/>
            <w:bookmarkEnd w:id="0"/>
          </w:p>
        </w:tc>
        <w:tc>
          <w:tcPr>
            <w:tcW w:w="7581" w:type="dxa"/>
            <w:gridSpan w:val="4"/>
            <w:vMerge w:val="restart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Приложение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«О бюджете Торбеевского городского поселения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 2023 год и на плановый период 2024 и 2025 годов»» № </w:t>
            </w:r>
            <w:r>
              <w:rPr>
                <w:rFonts w:hint="default" w:eastAsia="Times New Roman" w:cs="Times New Roman"/>
                <w:sz w:val="16"/>
                <w:szCs w:val="16"/>
                <w:lang w:val="en-US" w:eastAsia="ru-RU"/>
              </w:rPr>
              <w:t>42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hint="default" w:eastAsia="Times New Roman" w:cs="Times New Roman"/>
                <w:sz w:val="16"/>
                <w:szCs w:val="16"/>
                <w:lang w:val="en-US" w:eastAsia="ru-RU"/>
              </w:rPr>
              <w:t>29.12.2023 г.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 CYR" w:hAnsi="Arial CYR" w:eastAsia="Times New Roman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 CYR"/>
                <w:b/>
                <w:bCs/>
                <w:sz w:val="16"/>
                <w:szCs w:val="16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ascii="Times New Roman" w:hAnsi="Times New Roman" w:eastAsia="Times New Roman" w:cs="Arial CYR"/>
                <w:b/>
                <w:bCs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Arial CYR"/>
                <w:b/>
                <w:bCs/>
                <w:sz w:val="16"/>
                <w:szCs w:val="16"/>
                <w:lang w:eastAsia="ru-RU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 CYR" w:hAnsi="Arial CYR" w:eastAsia="Times New Roman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78 973,6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37 586,1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6F9D4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40 687,8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36 957,9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38 533,5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29 863,6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27 157,0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28 244,0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29 743,6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27 017,0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28 084,0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2 521,5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2 753,6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1 192,7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1 302,4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1 405,1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1 477,6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1 613,6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1 740,9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-156,4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-170,7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-184,2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000 1 05 03000 01 0000 110 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5 934,9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6 134,5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6 371,3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000 1 06 01000 00 0000 110 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000 1 06 01030 13 0000 110 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3 495,0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3 541,6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2 908,0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2 954,6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3 028,9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838,6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797,9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829,9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408,1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443,5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415,8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432,4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000 1 11 05075 13 0000 120 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 000 1 11 09045 13 0000 120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430,5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386,4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000 1 13 01995 13 0000 130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000 1 13 02995 13 0000 130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000 1 16 00000 10 0000 140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000 1 16 10061 13 0000 140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Штрафы за нарушение контракта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4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000 1 17 05050 05 0000180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000  2 02 20000 00 0000 150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000 2 02 20299 00 0000 150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000 2 02 20299 13 0000 150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000 2 02 25555 13 0000 150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000 2 02 25576 13 0000 150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Средства республиканского бюджета Республики Мордовия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000  2 02 29999 00 0000 150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000  2 02 29999 13 0000 150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 CYR" w:hAnsi="Arial CYR" w:eastAsia="Times New Roman" w:cs="Arial CYR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 CYR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48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3"/>
        <w:tblW w:w="10320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60"/>
        <w:gridCol w:w="399"/>
        <w:gridCol w:w="530"/>
        <w:gridCol w:w="424"/>
        <w:gridCol w:w="426"/>
        <w:gridCol w:w="851"/>
        <w:gridCol w:w="566"/>
        <w:gridCol w:w="1276"/>
        <w:gridCol w:w="113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RANGE!B1%3AL163"/>
            <w:bookmarkEnd w:id="1"/>
          </w:p>
        </w:tc>
        <w:tc>
          <w:tcPr>
            <w:tcW w:w="7414" w:type="dxa"/>
            <w:gridSpan w:val="10"/>
            <w:vMerge w:val="restart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 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2023 год и на плановый период 2024 и 2025 годов»  №42 от 29.12.2022г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4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4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4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4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20" w:type="dxa"/>
            <w:gridSpan w:val="11"/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8 190,96504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6 519,30000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6 519,60000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7 904,04104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6 469,30000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7 898,54104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6 883,04104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5 578,10000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3 007,24104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2 763,70000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2 713,70000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47 839,25558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22 862,05582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13 637,12000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13 973,91000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8 153,14655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6 650,99847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F500000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7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45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2 000,0000000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2 825,0000000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038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50"/>
        <w:gridCol w:w="285"/>
        <w:gridCol w:w="285"/>
        <w:gridCol w:w="330"/>
        <w:gridCol w:w="285"/>
        <w:gridCol w:w="690"/>
        <w:gridCol w:w="390"/>
        <w:gridCol w:w="1080"/>
        <w:gridCol w:w="1185"/>
        <w:gridCol w:w="12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gridSpan w:val="9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Приложение 3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380" w:type="dxa"/>
            <w:gridSpan w:val="10"/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Прз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80 135,30889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37 600,24000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80 135,30889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37 600,24000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8 190,96504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6 519,30000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7 904,04104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6 469,30000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7 898,54104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6 463,50000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6 883,04104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3 007,24104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2 763,70000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150,86800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150,86800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2 367,17304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2 185,00000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2 367,17304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2 185,00000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595,00000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622,42000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87,10000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87,10000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37,61300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47 839,25558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47 237,25558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15 453,60000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47 237,25558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47 237,25558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22 862,05582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13 637,12000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1 658,05190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1 658,05190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1 658,05190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8 153,14655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6 650,99847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F500000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1 502,14808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1 502,14808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3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75"/>
        <w:gridCol w:w="285"/>
        <w:gridCol w:w="285"/>
        <w:gridCol w:w="285"/>
        <w:gridCol w:w="570"/>
        <w:gridCol w:w="510"/>
        <w:gridCol w:w="270"/>
        <w:gridCol w:w="285"/>
        <w:gridCol w:w="405"/>
        <w:gridCol w:w="840"/>
        <w:gridCol w:w="795"/>
        <w:gridCol w:w="7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8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Приложение 4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0200" w:type="dxa"/>
            <w:gridSpan w:val="12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Адм                                          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37 550,2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6 651,0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7 898,5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6 463,5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6 883,0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3 007,2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31 086,7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31 086,7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3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8"/>
        <w:gridCol w:w="4802"/>
        <w:gridCol w:w="795"/>
        <w:gridCol w:w="855"/>
        <w:gridCol w:w="9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8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                                      Приложение 5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 42 от 29.12.2022г</w:t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2848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6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44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1 161,7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000 01 02 00 00 13 0000 710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000 01 02 00 00 13 0000 810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000 01 03 01 00 13 0000 710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000 01 03 01 00 13 0000 810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1 561,7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000 01 05 02 01 13 0000 510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000 01 05 02 01 13 0000 610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000 01 06 05 01 00 0000 600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000 01 06 05 01 13 0101 640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000 01 06 05 02 00 0000 640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000 01 06 05 02 10 0000 640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000 01 06 05 02 13 2604 640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sz w:val="16"/>
                <w:szCs w:val="16"/>
              </w:rPr>
              <w:br w:type="textWrapping"/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000 01 06 05 02 10 0000 540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000 01 06 05 02 13 2604 540</w:t>
            </w: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sz w:val="16"/>
                <w:szCs w:val="16"/>
              </w:rPr>
              <w:br w:type="textWrapping"/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средств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</w:tbl>
    <w:p>
      <w:pPr>
        <w:pStyle w:val="26"/>
        <w:shd w:val="clear" w:color="auto" w:fill="FFFFFF"/>
        <w:spacing w:beforeAutospacing="1" w:after="0"/>
        <w:ind w:left="0" w:firstLine="907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eastAsia="Times New Roman" w:cs="Times New Roman"/>
          <w:sz w:val="28"/>
          <w:szCs w:val="28"/>
          <w:lang w:val="en-US" w:eastAsia="ru-RU"/>
        </w:rPr>
        <w:t>torbeevskoe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val="en-US" w:eastAsia="ru-RU"/>
        </w:rPr>
        <w:t>r</w:t>
      </w:r>
      <w:r>
        <w:rPr>
          <w:rFonts w:eastAsia="Times New Roman" w:cs="Times New Roman"/>
          <w:sz w:val="28"/>
          <w:szCs w:val="28"/>
          <w:lang w:eastAsia="ru-RU"/>
        </w:rPr>
        <w:t>13.</w:t>
      </w:r>
      <w:r>
        <w:rPr>
          <w:rFonts w:eastAsia="Times New Roman" w:cs="Times New Roman"/>
          <w:sz w:val="28"/>
          <w:szCs w:val="28"/>
          <w:lang w:val="en-US" w:eastAsia="ru-RU"/>
        </w:rPr>
        <w:t>gosweb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gosuslugi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         О.В. Сёмина</w:t>
      </w:r>
    </w:p>
    <w:p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sectPr>
      <w:pgSz w:w="11906" w:h="16838"/>
      <w:pgMar w:top="709" w:right="911" w:bottom="993" w:left="1020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61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styleId="5">
    <w:name w:val="Balloon Text"/>
    <w:basedOn w:val="1"/>
    <w:qFormat/>
    <w:uiPriority w:val="0"/>
    <w:rPr>
      <w:rFonts w:ascii="Tahoma" w:hAnsi="Tahoma"/>
      <w:sz w:val="16"/>
    </w:rPr>
  </w:style>
  <w:style w:type="paragraph" w:styleId="6">
    <w:name w:val="caption"/>
    <w:basedOn w:val="1"/>
    <w:qFormat/>
    <w:uiPriority w:val="0"/>
    <w:pPr>
      <w:spacing w:before="120" w:after="120"/>
    </w:pPr>
    <w:rPr>
      <w:i/>
      <w:iCs/>
    </w:rPr>
  </w:style>
  <w:style w:type="paragraph" w:styleId="7">
    <w:name w:val="header"/>
    <w:basedOn w:val="1"/>
    <w:uiPriority w:val="0"/>
    <w:pPr>
      <w:tabs>
        <w:tab w:val="center" w:pos="4536"/>
        <w:tab w:val="right" w:pos="9072"/>
      </w:tabs>
    </w:pPr>
    <w:rPr>
      <w:sz w:val="20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index heading"/>
    <w:basedOn w:val="1"/>
    <w:qFormat/>
    <w:uiPriority w:val="0"/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uiPriority w:val="0"/>
    <w:rPr>
      <w:rFonts w:cs="Arial"/>
    </w:rPr>
  </w:style>
  <w:style w:type="paragraph" w:styleId="12">
    <w:name w:val="Normal (Web)"/>
    <w:basedOn w:val="1"/>
    <w:unhideWhenUsed/>
    <w:qFormat/>
    <w:uiPriority w:val="99"/>
    <w:pPr>
      <w:spacing w:beforeAutospacing="1" w:after="119"/>
    </w:pPr>
    <w:rPr>
      <w:rFonts w:eastAsia="Times New Roman" w:cs="Times New Roman"/>
      <w:lang w:eastAsia="ru-RU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Интернет-ссылка"/>
    <w:basedOn w:val="2"/>
    <w:semiHidden/>
    <w:unhideWhenUsed/>
    <w:uiPriority w:val="99"/>
    <w:rPr>
      <w:color w:val="0563C1"/>
      <w:u w:val="single"/>
    </w:rPr>
  </w:style>
  <w:style w:type="character" w:customStyle="1" w:styleId="15">
    <w:name w:val="Посещённая гиперссылка"/>
    <w:basedOn w:val="2"/>
    <w:semiHidden/>
    <w:unhideWhenUsed/>
    <w:uiPriority w:val="99"/>
    <w:rPr>
      <w:color w:val="954F72"/>
      <w:u w:val="single"/>
    </w:rPr>
  </w:style>
  <w:style w:type="character" w:customStyle="1" w:styleId="16">
    <w:name w:val="CITE"/>
    <w:qFormat/>
    <w:uiPriority w:val="0"/>
    <w:rPr>
      <w:i/>
    </w:rPr>
  </w:style>
  <w:style w:type="character" w:customStyle="1" w:styleId="17">
    <w:name w:val="CODE"/>
    <w:qFormat/>
    <w:uiPriority w:val="0"/>
    <w:rPr>
      <w:rFonts w:ascii="Courier New" w:hAnsi="Courier New"/>
      <w:sz w:val="20"/>
    </w:rPr>
  </w:style>
  <w:style w:type="character" w:customStyle="1" w:styleId="18">
    <w:name w:val="Keyboard"/>
    <w:qFormat/>
    <w:uiPriority w:val="0"/>
    <w:rPr>
      <w:rFonts w:ascii="Courier New" w:hAnsi="Courier New"/>
      <w:b/>
      <w:sz w:val="20"/>
    </w:rPr>
  </w:style>
  <w:style w:type="character" w:customStyle="1" w:styleId="19">
    <w:name w:val="Sample"/>
    <w:qFormat/>
    <w:uiPriority w:val="0"/>
    <w:rPr>
      <w:rFonts w:ascii="Courier New" w:hAnsi="Courier New"/>
    </w:rPr>
  </w:style>
  <w:style w:type="character" w:customStyle="1" w:styleId="20">
    <w:name w:val="Typewriter"/>
    <w:qFormat/>
    <w:uiPriority w:val="0"/>
    <w:rPr>
      <w:rFonts w:ascii="Courier New" w:hAnsi="Courier New"/>
      <w:sz w:val="20"/>
    </w:rPr>
  </w:style>
  <w:style w:type="character" w:customStyle="1" w:styleId="21">
    <w:name w:val="HTML Markup"/>
    <w:qFormat/>
    <w:uiPriority w:val="0"/>
    <w:rPr>
      <w:vanish/>
      <w:color w:val="FF0000"/>
    </w:rPr>
  </w:style>
  <w:style w:type="character" w:customStyle="1" w:styleId="22">
    <w:name w:val="Comment"/>
    <w:qFormat/>
    <w:uiPriority w:val="0"/>
    <w:rPr>
      <w:vanish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6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7">
    <w:name w:val="Содержимое таблицы"/>
    <w:basedOn w:val="1"/>
    <w:qFormat/>
    <w:uiPriority w:val="0"/>
    <w:pPr>
      <w:suppressLineNumbers/>
    </w:pPr>
  </w:style>
  <w:style w:type="paragraph" w:customStyle="1" w:styleId="28">
    <w:name w:val="Заголовок таблицы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Содержимое врезки"/>
    <w:basedOn w:val="1"/>
    <w:qFormat/>
    <w:uiPriority w:val="0"/>
  </w:style>
  <w:style w:type="paragraph" w:customStyle="1" w:styleId="30">
    <w:name w:val="Definition Term"/>
    <w:basedOn w:val="1"/>
    <w:qFormat/>
    <w:uiPriority w:val="0"/>
  </w:style>
  <w:style w:type="paragraph" w:customStyle="1" w:styleId="31">
    <w:name w:val="Definition List"/>
    <w:basedOn w:val="1"/>
    <w:qFormat/>
    <w:uiPriority w:val="0"/>
    <w:pPr>
      <w:ind w:left="360" w:firstLine="0"/>
    </w:pPr>
  </w:style>
  <w:style w:type="paragraph" w:customStyle="1" w:styleId="32">
    <w:name w:val="H1"/>
    <w:basedOn w:val="1"/>
    <w:qFormat/>
    <w:uiPriority w:val="0"/>
    <w:pPr>
      <w:keepNext/>
      <w:outlineLvl w:val="1"/>
    </w:pPr>
    <w:rPr>
      <w:b/>
      <w:kern w:val="2"/>
      <w:sz w:val="48"/>
    </w:rPr>
  </w:style>
  <w:style w:type="paragraph" w:customStyle="1" w:styleId="33">
    <w:name w:val="H2"/>
    <w:basedOn w:val="1"/>
    <w:qFormat/>
    <w:uiPriority w:val="0"/>
    <w:pPr>
      <w:keepNext/>
      <w:outlineLvl w:val="2"/>
    </w:pPr>
    <w:rPr>
      <w:b/>
      <w:sz w:val="36"/>
    </w:rPr>
  </w:style>
  <w:style w:type="paragraph" w:customStyle="1" w:styleId="34">
    <w:name w:val="H3"/>
    <w:basedOn w:val="1"/>
    <w:qFormat/>
    <w:uiPriority w:val="0"/>
    <w:pPr>
      <w:keepNext/>
      <w:outlineLvl w:val="3"/>
    </w:pPr>
    <w:rPr>
      <w:b/>
      <w:sz w:val="28"/>
    </w:rPr>
  </w:style>
  <w:style w:type="paragraph" w:customStyle="1" w:styleId="35">
    <w:name w:val="H4"/>
    <w:basedOn w:val="1"/>
    <w:qFormat/>
    <w:uiPriority w:val="0"/>
    <w:pPr>
      <w:keepNext/>
      <w:outlineLvl w:val="4"/>
    </w:pPr>
    <w:rPr>
      <w:b/>
    </w:rPr>
  </w:style>
  <w:style w:type="paragraph" w:customStyle="1" w:styleId="36">
    <w:name w:val="H5"/>
    <w:basedOn w:val="1"/>
    <w:qFormat/>
    <w:uiPriority w:val="0"/>
    <w:pPr>
      <w:keepNext/>
      <w:outlineLvl w:val="5"/>
    </w:pPr>
    <w:rPr>
      <w:b/>
      <w:sz w:val="20"/>
    </w:rPr>
  </w:style>
  <w:style w:type="paragraph" w:customStyle="1" w:styleId="37">
    <w:name w:val="H6"/>
    <w:basedOn w:val="1"/>
    <w:qFormat/>
    <w:uiPriority w:val="0"/>
    <w:pPr>
      <w:keepNext/>
      <w:outlineLvl w:val="6"/>
    </w:pPr>
    <w:rPr>
      <w:b/>
      <w:sz w:val="16"/>
    </w:rPr>
  </w:style>
  <w:style w:type="paragraph" w:customStyle="1" w:styleId="38">
    <w:name w:val="Address"/>
    <w:basedOn w:val="1"/>
    <w:qFormat/>
    <w:uiPriority w:val="0"/>
    <w:rPr>
      <w:i/>
    </w:rPr>
  </w:style>
  <w:style w:type="paragraph" w:customStyle="1" w:styleId="39">
    <w:name w:val="Blockquote"/>
    <w:basedOn w:val="1"/>
    <w:qFormat/>
    <w:uiPriority w:val="0"/>
    <w:pPr>
      <w:ind w:left="360" w:right="360" w:firstLine="0"/>
    </w:pPr>
  </w:style>
  <w:style w:type="paragraph" w:customStyle="1" w:styleId="4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41">
    <w:name w:val="z-Bottom of Form"/>
    <w:qFormat/>
    <w:uiPriority w:val="0"/>
    <w:pPr>
      <w:widowControl/>
      <w:pBdr>
        <w:top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2">
    <w:name w:val="z-Top of Form"/>
    <w:qFormat/>
    <w:uiPriority w:val="0"/>
    <w:pPr>
      <w:widowControl/>
      <w:pBdr>
        <w:bottom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3">
    <w:name w:val="Верхний и нижний колонтитулы"/>
    <w:basedOn w:val="1"/>
    <w:qFormat/>
    <w:uiPriority w:val="0"/>
  </w:style>
  <w:style w:type="paragraph" w:customStyle="1" w:styleId="44">
    <w:name w:val="msonormal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45">
    <w:name w:val="xl67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6">
    <w:name w:val="xl68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7">
    <w:name w:val="xl69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8">
    <w:name w:val="xl70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9">
    <w:name w:val="xl71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0">
    <w:name w:val="xl72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1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2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3">
    <w:name w:val="xl75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4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5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6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57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lang w:eastAsia="ru-RU"/>
    </w:rPr>
  </w:style>
  <w:style w:type="paragraph" w:customStyle="1" w:styleId="58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59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0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1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2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3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4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6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lang w:eastAsia="ru-RU"/>
    </w:rPr>
  </w:style>
  <w:style w:type="paragraph" w:customStyle="1" w:styleId="68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69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0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1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2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3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4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A6A6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75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6">
    <w:name w:val="xl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7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8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79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0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1">
    <w:name w:val="xl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2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3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4">
    <w:name w:val="xl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5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6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7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88">
    <w:name w:val="xl110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9">
    <w:name w:val="xl111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0">
    <w:name w:val="xl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1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92">
    <w:name w:val="xl114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3">
    <w:name w:val="xl115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4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95">
    <w:name w:val="xl117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6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7">
    <w:name w:val="xl119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98">
    <w:name w:val="xl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9">
    <w:name w:val="xl12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0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1">
    <w:name w:val="xl1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102">
    <w:name w:val="xl1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3">
    <w:name w:val="xl1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104">
    <w:name w:val="xl126"/>
    <w:basedOn w:val="1"/>
    <w:qFormat/>
    <w:uiPriority w:val="0"/>
    <w:pPr>
      <w:suppressAutoHyphens w:val="0"/>
      <w:spacing w:beforeAutospacing="1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105">
    <w:name w:val="xl127"/>
    <w:basedOn w:val="1"/>
    <w:qFormat/>
    <w:uiPriority w:val="0"/>
    <w:pP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6">
    <w:name w:val="xl1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7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28</Pages>
  <Words>11769</Words>
  <Characters>69183</Characters>
  <Paragraphs>5453</Paragraphs>
  <TotalTime>333</TotalTime>
  <ScaleCrop>false</ScaleCrop>
  <LinksUpToDate>false</LinksUpToDate>
  <CharactersWithSpaces>76949</CharactersWithSpaces>
  <Application>WPS Office_12.2.0.13292_F1E327BC-269C-435d-A152-05C5408002CA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2023-09-29T13:05:00Z</dcterms:created>
  <dc:creator>user</dc:creator>
  <cp:lastModifiedBy>1</cp:lastModifiedBy>
  <cp:lastPrinted>2023-12-12T09:54:00Z</cp:lastPrinted>
  <dcterms:modified xsi:type="dcterms:W3CDTF">2023-12-12T08:26:40Z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1049-12.2.0.13292</vt:lpwstr>
  </property>
  <property fmtid="{D5CDD505-2E9C-101B-9397-08002B2CF9AE}" pid="12" name="ICV">
    <vt:lpwstr>42B2D68BC8B24CEC91B6CBC843449C87_13</vt:lpwstr>
  </property>
</Properties>
</file>