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Тринадцатая  сессия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(седьмого созыва)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left="284" w:hanging="12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от 24 апреля 2023 г.                                                                                            № 47</w:t>
      </w:r>
    </w:p>
    <w:p>
      <w:pPr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р.п Торбеево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 Республики Мордовия</w:t>
      </w:r>
    </w:p>
    <w:p>
      <w:pPr>
        <w:spacing w:after="0"/>
        <w:ind w:firstLine="851"/>
        <w:jc w:val="center"/>
        <w:rPr>
          <w:b/>
          <w:bCs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24), следующие изменения:</w:t>
      </w:r>
    </w:p>
    <w:p>
      <w:pPr>
        <w:pStyle w:val="55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статье 8:</w:t>
      </w:r>
    </w:p>
    <w:p>
      <w:pPr>
        <w:pStyle w:val="55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а)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часть 2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изложить в следующей редакции:</w:t>
      </w:r>
    </w:p>
    <w:p>
      <w:pPr>
        <w:pStyle w:val="2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Федерации.»;</w:t>
      </w:r>
    </w:p>
    <w:p>
      <w:pPr>
        <w:pStyle w:val="2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дополнить частью 3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«3. </w:t>
      </w:r>
      <w:r>
        <w:rPr>
          <w:sz w:val="26"/>
          <w:szCs w:val="26"/>
        </w:rPr>
        <w:t>Вид муниципального контроля подлежат осуществлению при наличии в границах муниципального образования объектов соответствующего вида контроля.»;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2) часть 5 статьи 10 изложить в следующей редакции:</w:t>
      </w:r>
    </w:p>
    <w:p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«5. </w:t>
      </w:r>
      <w:r>
        <w:rPr>
          <w:color w:val="000000"/>
          <w:sz w:val="26"/>
          <w:szCs w:val="26"/>
        </w:rPr>
        <w:t>Муниципальные выборы в случаях, установленных федеральным законом, назначаются территориальной избирательной комиссией или судом.»;</w:t>
      </w:r>
    </w:p>
    <w:p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>
      <w:pPr>
        <w:pStyle w:val="21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3) в части 3 статьи 11:</w:t>
      </w:r>
    </w:p>
    <w:p>
      <w:pPr>
        <w:pStyle w:val="21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пунктах 2, 4, 6 и 7 слова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избирательная комиссия Торбеевского городского поселения</w:t>
      </w:r>
      <w:r>
        <w:rPr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в соответствующем падеже заменить словами </w:t>
      </w:r>
      <w:r>
        <w:rPr>
          <w:color w:val="000000"/>
          <w:sz w:val="26"/>
          <w:szCs w:val="26"/>
        </w:rPr>
        <w:t>«территориальная комиссия местного референдума»</w:t>
      </w:r>
      <w:r>
        <w:rPr>
          <w:b/>
          <w:color w:val="000000"/>
          <w:sz w:val="26"/>
          <w:szCs w:val="26"/>
        </w:rPr>
        <w:t xml:space="preserve"> в соответствующем падеже; </w:t>
      </w:r>
    </w:p>
    <w:p>
      <w:pPr>
        <w:pStyle w:val="21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пункте 7 слова </w:t>
      </w:r>
      <w:r>
        <w:rPr>
          <w:color w:val="000000"/>
          <w:sz w:val="26"/>
          <w:szCs w:val="26"/>
        </w:rPr>
        <w:t>«муниципальная избирательная комиссия»</w:t>
      </w:r>
      <w:r>
        <w:rPr>
          <w:b/>
          <w:color w:val="000000"/>
          <w:sz w:val="26"/>
          <w:szCs w:val="26"/>
        </w:rPr>
        <w:t xml:space="preserve"> в соответствующем падеже заменить словами </w:t>
      </w:r>
      <w:r>
        <w:rPr>
          <w:color w:val="000000"/>
          <w:sz w:val="26"/>
          <w:szCs w:val="26"/>
        </w:rPr>
        <w:t>«территориальная комиссия местного референдума»</w:t>
      </w:r>
      <w:r>
        <w:rPr>
          <w:b/>
          <w:color w:val="000000"/>
          <w:sz w:val="26"/>
          <w:szCs w:val="26"/>
        </w:rPr>
        <w:t xml:space="preserve"> в соответствующем падеже; </w:t>
      </w:r>
    </w:p>
    <w:p>
      <w:pPr>
        <w:pStyle w:val="21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пункте 10 слова </w:t>
      </w:r>
      <w:r>
        <w:rPr>
          <w:color w:val="000000"/>
          <w:sz w:val="26"/>
          <w:szCs w:val="26"/>
        </w:rPr>
        <w:t>«избирательная комиссия» заменить словами «территориальная комиссия местного референдума»;</w:t>
      </w:r>
    </w:p>
    <w:p>
      <w:pPr>
        <w:pStyle w:val="21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4) статью 28 дополнить частью 4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«4. </w:t>
      </w:r>
      <w:r>
        <w:rPr>
          <w:bCs/>
          <w:sz w:val="26"/>
          <w:szCs w:val="26"/>
        </w:rPr>
        <w:t>Полномочия депутата Совета депутатов Торбеевского городского поселения прекращаются досрочно решением Совета депутатов Торбеевского городского поселения в случае отсутствия депутата без уважительных причин на всех заседаниях Совета депутатов Торбеевского городского поселения в течение шести месяцев подряд.</w:t>
      </w:r>
      <w:r>
        <w:rPr>
          <w:color w:val="000000"/>
          <w:sz w:val="26"/>
          <w:szCs w:val="26"/>
        </w:rPr>
        <w:t>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5) статью 37 признать утратившей силу;</w:t>
      </w: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6) часть 1 статьи 45 изложить в следующей редакции: 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b/>
          <w:bCs/>
          <w:sz w:val="26"/>
          <w:szCs w:val="26"/>
        </w:rPr>
        <w:t>Статья 45. Запреты, связанные с муниципальной службой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связи с прохождением муниципальной службы муниципальному служащему </w:t>
      </w:r>
      <w:r>
        <w:rPr>
          <w:bCs/>
          <w:sz w:val="26"/>
          <w:szCs w:val="26"/>
        </w:rPr>
        <w:t xml:space="preserve">Торбеевского городского поселения </w:t>
      </w:r>
      <w:r>
        <w:rPr>
          <w:sz w:val="26"/>
          <w:szCs w:val="26"/>
        </w:rPr>
        <w:t>запрещается: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замещать должность муниципальной службы в случае: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избрания или назначения на муниципальную должность;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заниматься предпринимательской деятельностью лично или через доверенных лиц;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быть поверенным или представителем по делам третьих лиц в органе местного самоуправления </w:t>
      </w:r>
      <w:r>
        <w:rPr>
          <w:bCs/>
          <w:sz w:val="26"/>
          <w:szCs w:val="26"/>
        </w:rPr>
        <w:t>Торбеевского городского поселения</w:t>
      </w:r>
      <w:r>
        <w:rPr>
          <w:sz w:val="26"/>
          <w:szCs w:val="26"/>
        </w:rPr>
        <w:t>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</w:t>
      </w:r>
      <w:r>
        <w:rPr>
          <w:bCs/>
          <w:sz w:val="26"/>
          <w:szCs w:val="26"/>
        </w:rPr>
        <w:t>Торбеевского городского поселения</w:t>
      </w:r>
      <w:r>
        <w:rPr>
          <w:sz w:val="26"/>
          <w:szCs w:val="26"/>
        </w:rPr>
        <w:t>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</w:t>
      </w:r>
      <w:r>
        <w:rPr>
          <w:bCs/>
          <w:sz w:val="26"/>
          <w:szCs w:val="26"/>
        </w:rPr>
        <w:t>Торбеевского городского поселения</w:t>
      </w:r>
      <w:r>
        <w:rPr>
          <w:sz w:val="26"/>
          <w:szCs w:val="26"/>
        </w:rPr>
        <w:t>, избирательной комиссии муниципального образования 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</w:t>
      </w:r>
      <w:r>
        <w:rPr>
          <w:bCs/>
          <w:sz w:val="26"/>
          <w:szCs w:val="26"/>
        </w:rPr>
        <w:t>Торбеевского городского поселения</w:t>
      </w:r>
      <w:r>
        <w:rPr>
          <w:sz w:val="26"/>
          <w:szCs w:val="26"/>
        </w:rPr>
        <w:t>, избирательной комиссии муниципального образования и их руководителей, если это не входит в его должностные обязанности;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принимать без письменного разрешения главы </w:t>
      </w:r>
      <w:r>
        <w:rPr>
          <w:bCs/>
          <w:sz w:val="26"/>
          <w:szCs w:val="26"/>
        </w:rPr>
        <w:t>Торбеевского городского поселения</w:t>
      </w:r>
      <w:r>
        <w:rPr>
          <w:sz w:val="26"/>
          <w:szCs w:val="26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 прекращать исполнение должностных обязанностей в целях урегулирования трудового спора;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7) часть 1 статьи 46 дополнить пунктом 11 следующего содержания:</w:t>
      </w:r>
    </w:p>
    <w:p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«11) приобретения им статуса иностранного агента.»;</w:t>
      </w:r>
    </w:p>
    <w:p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8) пункт 7 части 1 статьи 58 признать утратившим силу;</w:t>
      </w:r>
    </w:p>
    <w:p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9) </w:t>
      </w:r>
      <w:r>
        <w:rPr>
          <w:b/>
          <w:sz w:val="26"/>
          <w:szCs w:val="26"/>
        </w:rPr>
        <w:t>в части 5 статьи 59 после слов</w:t>
      </w:r>
      <w:r>
        <w:rPr>
          <w:sz w:val="26"/>
          <w:szCs w:val="26"/>
        </w:rPr>
        <w:t xml:space="preserve"> «Торбеевского муниципального района.» </w:t>
      </w:r>
      <w:r>
        <w:rPr>
          <w:b/>
          <w:sz w:val="26"/>
          <w:szCs w:val="26"/>
        </w:rPr>
        <w:t>дополнить абзацами следующего содержания:</w:t>
      </w:r>
    </w:p>
    <w:p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Для официального опубликования (обнародования)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r>
        <w:rPr>
          <w:color w:val="000000"/>
          <w:sz w:val="26"/>
          <w:szCs w:val="26"/>
          <w:lang w:val="en-US"/>
        </w:rPr>
        <w:t>mpa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mordovia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, зарегистрированный в качестве сетевого издания (серия Эл №ФС77-84523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</w:p>
    <w:p>
      <w:pPr>
        <w:pStyle w:val="35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дополнительного источника официального опубликования Устава Торбеевского городского поселения, решений Совета депутатов Торбеевского городского поселения о внесении изменений и дополнений в Устав Торбеевского городского поселения,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 </w:t>
      </w:r>
      <w:r>
        <w:fldChar w:fldCharType="begin"/>
      </w:r>
      <w:r>
        <w:instrText xml:space="preserve"> HYPERLINK "http://pravo-minjust.ru" </w:instrText>
      </w:r>
      <w:r>
        <w:fldChar w:fldCharType="separate"/>
      </w:r>
      <w:r>
        <w:rPr>
          <w:rStyle w:val="14"/>
          <w:color w:val="auto"/>
          <w:sz w:val="26"/>
          <w:szCs w:val="26"/>
          <w:lang w:val="en-US"/>
        </w:rPr>
        <w:t>http</w:t>
      </w:r>
      <w:r>
        <w:rPr>
          <w:rStyle w:val="14"/>
          <w:color w:val="auto"/>
          <w:sz w:val="26"/>
          <w:szCs w:val="26"/>
        </w:rPr>
        <w:t>://</w:t>
      </w:r>
      <w:r>
        <w:rPr>
          <w:rStyle w:val="14"/>
          <w:color w:val="auto"/>
          <w:sz w:val="26"/>
          <w:szCs w:val="26"/>
          <w:lang w:val="en-US"/>
        </w:rPr>
        <w:t>pravo</w:t>
      </w:r>
      <w:r>
        <w:rPr>
          <w:rStyle w:val="14"/>
          <w:color w:val="auto"/>
          <w:sz w:val="26"/>
          <w:szCs w:val="26"/>
        </w:rPr>
        <w:t>-</w:t>
      </w:r>
      <w:r>
        <w:rPr>
          <w:rStyle w:val="14"/>
          <w:color w:val="auto"/>
          <w:sz w:val="26"/>
          <w:szCs w:val="26"/>
          <w:lang w:val="en-US"/>
        </w:rPr>
        <w:t>minjust</w:t>
      </w:r>
      <w:r>
        <w:rPr>
          <w:rStyle w:val="14"/>
          <w:color w:val="auto"/>
          <w:sz w:val="26"/>
          <w:szCs w:val="26"/>
        </w:rPr>
        <w:t>.</w:t>
      </w:r>
      <w:r>
        <w:rPr>
          <w:rStyle w:val="14"/>
          <w:color w:val="auto"/>
          <w:sz w:val="26"/>
          <w:szCs w:val="26"/>
          <w:lang w:val="en-US"/>
        </w:rPr>
        <w:t>ru</w:t>
      </w:r>
      <w:r>
        <w:rPr>
          <w:rStyle w:val="14"/>
          <w:color w:val="auto"/>
          <w:sz w:val="26"/>
          <w:szCs w:val="26"/>
          <w:lang w:val="en-US"/>
        </w:rPr>
        <w:fldChar w:fldCharType="end"/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//право-минюст.рф, регистрационный номер и дата его регистрации в качестве сетевого издания – Эл № ФС77-72471 от 05.03.2018.».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sz w:val="26"/>
          <w:szCs w:val="26"/>
        </w:rPr>
        <w:t>www.</w:t>
      </w:r>
      <w:r>
        <w:rPr>
          <w:sz w:val="26"/>
          <w:szCs w:val="26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sz w:val="26"/>
          <w:szCs w:val="26"/>
          <w:lang w:val="en-US"/>
        </w:rPr>
        <w:t>torbeevo</w:t>
      </w:r>
      <w:r>
        <w:rPr>
          <w:sz w:val="26"/>
          <w:szCs w:val="26"/>
          <w:lang w:val="en-US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sz w:val="26"/>
          <w:szCs w:val="26"/>
        </w:rPr>
        <w:t>-</w:t>
      </w:r>
      <w:r>
        <w:rPr>
          <w:sz w:val="26"/>
          <w:szCs w:val="26"/>
        </w:rPr>
        <w:fldChar w:fldCharType="end"/>
      </w:r>
      <w:r>
        <w:rPr>
          <w:sz w:val="26"/>
          <w:szCs w:val="26"/>
          <w:lang w:val="en-US"/>
        </w:rPr>
        <w:t>rm</w:t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sz w:val="26"/>
          <w:szCs w:val="26"/>
        </w:rPr>
        <w:t>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  <w:shd w:val="clear" w:color="auto" w:fill="FFFFFF"/>
        </w:rPr>
        <w:t>https://torbeevskoe-r13.gosweb.gosuslugi.ru</w:t>
      </w:r>
      <w:r>
        <w:rPr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6"/>
          <w:szCs w:val="26"/>
        </w:rPr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Торбеевского городского поселения       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                                                                           О.В. Сёмина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bookmarkEnd w:id="0"/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49A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uiPriority w:val="99"/>
  </w:style>
  <w:style w:type="character" w:customStyle="1" w:styleId="38">
    <w:name w:val="s1"/>
    <w:uiPriority w:val="99"/>
  </w:style>
  <w:style w:type="paragraph" w:customStyle="1" w:styleId="39">
    <w:name w:val="p9"/>
    <w:basedOn w:val="1"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10576</Characters>
  <Lines>88</Lines>
  <Paragraphs>24</Paragraphs>
  <TotalTime>50</TotalTime>
  <ScaleCrop>false</ScaleCrop>
  <LinksUpToDate>false</LinksUpToDate>
  <CharactersWithSpaces>12407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1</cp:lastModifiedBy>
  <cp:lastPrinted>2023-08-03T06:17:59Z</cp:lastPrinted>
  <dcterms:modified xsi:type="dcterms:W3CDTF">2023-08-03T06:19:02Z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113403E952814CA9A52C0D186DE73905</vt:lpwstr>
  </property>
</Properties>
</file>